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b/>
        </w:rPr>
        <w:t xml:space="preserve">ZARZĄDZENIE NR </w:t>
      </w:r>
      <w:r>
        <w:rPr>
          <w:b/>
          <w:color w:val="000000"/>
        </w:rPr>
        <w:t>3</w:t>
      </w:r>
      <w:r>
        <w:rPr>
          <w:b/>
          <w:color w:val="000000"/>
        </w:rPr>
        <w:t>79</w:t>
      </w:r>
      <w:r>
        <w:rPr>
          <w:b/>
          <w:color w:val="000000"/>
        </w:rPr>
        <w:t>/2020</w:t>
      </w:r>
    </w:p>
    <w:p>
      <w:pPr>
        <w:pStyle w:val="Normal"/>
        <w:jc w:val="center"/>
        <w:rPr>
          <w:b/>
          <w:b/>
        </w:rPr>
      </w:pPr>
      <w:r>
        <w:rPr>
          <w:b/>
          <w:color w:val="000000"/>
        </w:rPr>
        <w:t>Wójta Gminy Kamieniec Ząbkowicki</w:t>
      </w:r>
    </w:p>
    <w:p>
      <w:pPr>
        <w:pStyle w:val="Normal"/>
        <w:jc w:val="center"/>
        <w:rPr>
          <w:color w:val="000000"/>
        </w:rPr>
      </w:pPr>
      <w:r>
        <w:rPr>
          <w:b/>
          <w:color w:val="000000"/>
        </w:rPr>
        <w:t xml:space="preserve">z dnia </w:t>
      </w:r>
      <w:r>
        <w:rPr>
          <w:b/>
          <w:color w:val="000000"/>
        </w:rPr>
        <w:t>03</w:t>
      </w:r>
      <w:r>
        <w:rPr>
          <w:b/>
          <w:color w:val="000000"/>
        </w:rPr>
        <w:t>.</w:t>
      </w:r>
      <w:r>
        <w:rPr>
          <w:b/>
          <w:color w:val="000000"/>
        </w:rPr>
        <w:t>11</w:t>
      </w:r>
      <w:r>
        <w:rPr>
          <w:b/>
          <w:color w:val="000000"/>
        </w:rPr>
        <w:t>. 2020 r.</w:t>
      </w:r>
    </w:p>
    <w:p>
      <w:pPr>
        <w:pStyle w:val="Normal"/>
        <w:rPr>
          <w:b/>
          <w:b/>
        </w:rPr>
      </w:pPr>
      <w:r>
        <w:rPr>
          <w:b/>
        </w:rPr>
      </w:r>
    </w:p>
    <w:p>
      <w:pPr>
        <w:pStyle w:val="Normal"/>
        <w:jc w:val="both"/>
        <w:rPr>
          <w:b/>
          <w:b/>
        </w:rPr>
      </w:pPr>
      <w:r>
        <w:rPr>
          <w:b/>
        </w:rPr>
        <w:t xml:space="preserve">w sprawie: przygotowania projektów uchwał Rady Gminy Kamieniec Ząbkowicki </w:t>
      </w:r>
    </w:p>
    <w:p>
      <w:pPr>
        <w:pStyle w:val="Normal"/>
        <w:jc w:val="both"/>
        <w:rPr/>
      </w:pPr>
      <w:r>
        <w:rPr/>
      </w:r>
    </w:p>
    <w:p>
      <w:pPr>
        <w:pStyle w:val="Normal"/>
        <w:jc w:val="both"/>
        <w:rPr/>
      </w:pPr>
      <w:r>
        <w:rPr/>
        <w:t xml:space="preserve">Na podstawie art. 30, ust. 2, pkt. 1 ustawy z dnia 8 marca 1990 roku o samorządzie gminnym ( Dz. U. 2020 r. poz. 713) </w:t>
      </w:r>
    </w:p>
    <w:p>
      <w:pPr>
        <w:pStyle w:val="Normal"/>
        <w:jc w:val="both"/>
        <w:rPr/>
      </w:pPr>
      <w:r>
        <w:rPr/>
        <w:t xml:space="preserve">                                                   </w:t>
      </w:r>
      <w:r>
        <w:rPr>
          <w:b/>
        </w:rPr>
        <w:t>zarządzam co następuje:</w:t>
      </w:r>
      <w:r>
        <w:rPr/>
        <w:t xml:space="preserve"> </w:t>
      </w:r>
    </w:p>
    <w:p>
      <w:pPr>
        <w:pStyle w:val="Normal"/>
        <w:jc w:val="both"/>
        <w:rPr/>
      </w:pPr>
      <w:r>
        <w:rPr/>
      </w:r>
    </w:p>
    <w:p>
      <w:pPr>
        <w:pStyle w:val="Normal"/>
        <w:jc w:val="center"/>
        <w:rPr>
          <w:b/>
          <w:b/>
        </w:rPr>
      </w:pPr>
      <w:r>
        <w:rPr>
          <w:b/>
        </w:rPr>
        <w:t>§ 1</w:t>
      </w:r>
    </w:p>
    <w:p>
      <w:pPr>
        <w:pStyle w:val="ListParagraph"/>
        <w:ind w:hanging="0"/>
        <w:jc w:val="both"/>
        <w:rPr/>
      </w:pPr>
      <w:r>
        <w:rPr/>
        <w:t>Ustala się ostateczną treść projektów uchwał, które wniesione będą pod obrady XXI</w:t>
      </w:r>
      <w:r>
        <w:rPr/>
        <w:t>V</w:t>
      </w:r>
      <w:r>
        <w:rPr/>
        <w:t xml:space="preserve"> Sesji Rady Gminy: </w:t>
      </w:r>
    </w:p>
    <w:p>
      <w:pPr>
        <w:pStyle w:val="ListParagraph"/>
        <w:jc w:val="both"/>
        <w:rPr/>
      </w:pPr>
      <w:r>
        <w:rPr/>
      </w:r>
    </w:p>
    <w:p>
      <w:pPr>
        <w:pStyle w:val="Normal"/>
        <w:rPr/>
      </w:pPr>
      <w:r>
        <w:rPr/>
        <w:t>1) w sprawie</w:t>
      </w:r>
      <w:r>
        <w:rPr>
          <w:bCs/>
        </w:rPr>
        <w:t xml:space="preserve"> wprowadzenia zmian w wieloletniej prognozie finansowej Gminy Kamieniec Ząbkowicki</w:t>
      </w:r>
    </w:p>
    <w:p>
      <w:pPr>
        <w:pStyle w:val="Normal"/>
        <w:rPr>
          <w:bCs/>
        </w:rPr>
      </w:pPr>
      <w:r>
        <w:rPr/>
      </w:r>
    </w:p>
    <w:p>
      <w:pPr>
        <w:pStyle w:val="Normal"/>
        <w:rPr/>
      </w:pPr>
      <w:r>
        <w:rPr>
          <w:bCs/>
        </w:rPr>
        <w:t xml:space="preserve">2) </w:t>
      </w:r>
      <w:r>
        <w:rPr>
          <w:bCs/>
        </w:rPr>
        <w:t>w sprawie zmiany uchwały XVIII/146/2020 Rady Gminy Kamieniec Ząbkowicki z dnia 30 kwietnia 2020 r. w sprawie udzielenia pomocy finansowej dla Powiatu Ząbkowickiego z budżetu Gminy Kamieniec Ząbkowicki</w:t>
      </w:r>
    </w:p>
    <w:p>
      <w:pPr>
        <w:pStyle w:val="Normal"/>
        <w:rPr>
          <w:bCs/>
        </w:rPr>
      </w:pPr>
      <w:r>
        <w:rPr/>
      </w:r>
    </w:p>
    <w:p>
      <w:pPr>
        <w:pStyle w:val="Normal"/>
        <w:rPr/>
      </w:pPr>
      <w:r>
        <w:rPr>
          <w:bCs/>
        </w:rPr>
        <w:t xml:space="preserve">3) </w:t>
      </w:r>
      <w:r>
        <w:rPr>
          <w:bCs/>
        </w:rPr>
        <w:t>w sprawie wprowadzenia zmian w budżecie gminy na rok 2020.</w:t>
      </w:r>
    </w:p>
    <w:p>
      <w:pPr>
        <w:pStyle w:val="Normal"/>
        <w:rPr>
          <w:bCs/>
        </w:rPr>
      </w:pPr>
      <w:r>
        <w:rPr/>
      </w:r>
    </w:p>
    <w:p>
      <w:pPr>
        <w:pStyle w:val="Normal"/>
        <w:jc w:val="both"/>
        <w:rPr/>
      </w:pPr>
      <w:r>
        <w:rPr>
          <w:bCs/>
        </w:rPr>
        <w:t xml:space="preserve">4) </w:t>
      </w:r>
      <w:r>
        <w:rPr>
          <w:bCs/>
        </w:rPr>
        <w:t>w sprawie poboru opłaty skarbowej w drodze inkasa</w:t>
      </w:r>
    </w:p>
    <w:p>
      <w:pPr>
        <w:pStyle w:val="Normal"/>
        <w:jc w:val="both"/>
        <w:rPr>
          <w:bCs/>
        </w:rPr>
      </w:pPr>
      <w:r>
        <w:rPr/>
      </w:r>
    </w:p>
    <w:p>
      <w:pPr>
        <w:pStyle w:val="Normal"/>
        <w:jc w:val="both"/>
        <w:rPr/>
      </w:pPr>
      <w:r>
        <w:rPr>
          <w:bCs/>
        </w:rPr>
        <w:t xml:space="preserve">5) </w:t>
      </w:r>
      <w:r>
        <w:rPr>
          <w:bCs/>
        </w:rPr>
        <w:t>w sprawie wyrażenia zgody na nabycie nieruchomości do gminnego zasobu nieruchomości za cenę wyższą</w:t>
      </w:r>
    </w:p>
    <w:p>
      <w:pPr>
        <w:pStyle w:val="Normal"/>
        <w:jc w:val="both"/>
        <w:rPr>
          <w:bCs/>
        </w:rPr>
      </w:pPr>
      <w:r>
        <w:rPr/>
      </w:r>
    </w:p>
    <w:p>
      <w:pPr>
        <w:pStyle w:val="Normal"/>
        <w:jc w:val="both"/>
        <w:rPr/>
      </w:pPr>
      <w:r>
        <w:rPr>
          <w:bCs/>
        </w:rPr>
        <w:t xml:space="preserve">6) </w:t>
      </w:r>
      <w:r>
        <w:rPr/>
        <w:t>w sprawie zmiany Gminnego Programu Profilaktyki  i Rozwiązywania  Problemów Alkoholowych i Narkomanii na  2020 rok</w:t>
      </w:r>
    </w:p>
    <w:p>
      <w:pPr>
        <w:pStyle w:val="Normal"/>
        <w:jc w:val="both"/>
        <w:rPr/>
      </w:pPr>
      <w:r>
        <w:rPr/>
      </w:r>
    </w:p>
    <w:p>
      <w:pPr>
        <w:pStyle w:val="Normal"/>
        <w:jc w:val="both"/>
        <w:rPr/>
      </w:pPr>
      <w:r>
        <w:rPr>
          <w:rStyle w:val="Strong"/>
          <w:b w:val="false"/>
        </w:rPr>
        <w:t xml:space="preserve">7) </w:t>
      </w:r>
      <w:r>
        <w:rPr>
          <w:rStyle w:val="Strong"/>
          <w:b w:val="false"/>
        </w:rPr>
        <w:t>w sprawie utworzenia placówki wsparcia dziennego</w:t>
      </w:r>
    </w:p>
    <w:p>
      <w:pPr>
        <w:pStyle w:val="Normal"/>
        <w:jc w:val="both"/>
        <w:rPr>
          <w:rStyle w:val="Strong"/>
          <w:b w:val="false"/>
          <w:b w:val="false"/>
        </w:rPr>
      </w:pPr>
      <w:r>
        <w:rPr/>
      </w:r>
    </w:p>
    <w:p>
      <w:pPr>
        <w:pStyle w:val="Normal"/>
        <w:jc w:val="both"/>
        <w:rPr/>
      </w:pPr>
      <w:r>
        <w:rPr>
          <w:rStyle w:val="Strong"/>
          <w:b w:val="false"/>
        </w:rPr>
        <w:t xml:space="preserve">8) </w:t>
      </w:r>
      <w:r>
        <w:rPr>
          <w:bCs/>
        </w:rPr>
        <w:t>w sprawie określenia wysokości stawek podatku od nieruchomości na 2021 rok oraz zwolnień  z tego podatku</w:t>
      </w:r>
    </w:p>
    <w:p>
      <w:pPr>
        <w:pStyle w:val="Normal"/>
        <w:jc w:val="both"/>
        <w:rPr>
          <w:bCs/>
        </w:rPr>
      </w:pPr>
      <w:r>
        <w:rPr/>
      </w:r>
    </w:p>
    <w:p>
      <w:pPr>
        <w:pStyle w:val="Normal"/>
        <w:jc w:val="both"/>
        <w:rPr/>
      </w:pPr>
      <w:r>
        <w:rPr/>
        <w:t xml:space="preserve">9) </w:t>
      </w:r>
      <w:r>
        <w:rPr/>
        <w:t>w sprawie określenia wysokości stawek podatku od środków transportowych na 2021 rok</w:t>
      </w:r>
    </w:p>
    <w:p>
      <w:pPr>
        <w:pStyle w:val="Normal"/>
        <w:jc w:val="both"/>
        <w:rPr/>
      </w:pPr>
      <w:r>
        <w:rPr/>
      </w:r>
    </w:p>
    <w:p>
      <w:pPr>
        <w:pStyle w:val="Normal"/>
        <w:tabs>
          <w:tab w:val="clear" w:pos="708"/>
          <w:tab w:val="left" w:pos="2516" w:leader="none"/>
        </w:tabs>
        <w:spacing w:lineRule="auto" w:line="240"/>
        <w:jc w:val="both"/>
        <w:rPr/>
      </w:pPr>
      <w:r>
        <w:rPr/>
        <w:t>10)</w:t>
      </w:r>
      <w:r>
        <w:rPr/>
        <w:t xml:space="preserve"> zmianie uchwały XXXIV/209/2017 Rady Gminy Kamieniec Ząbkowicki z dnia 27 luty 2017r.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w:t>
      </w:r>
    </w:p>
    <w:p>
      <w:pPr>
        <w:pStyle w:val="Normal"/>
        <w:tabs>
          <w:tab w:val="clear" w:pos="708"/>
          <w:tab w:val="left" w:pos="2516" w:leader="none"/>
        </w:tabs>
        <w:spacing w:lineRule="auto" w:line="240"/>
        <w:jc w:val="both"/>
        <w:rPr/>
      </w:pPr>
      <w:r>
        <w:rPr/>
      </w:r>
    </w:p>
    <w:p>
      <w:pPr>
        <w:pStyle w:val="Normal"/>
        <w:jc w:val="both"/>
        <w:rPr/>
      </w:pPr>
      <w:r>
        <w:rPr>
          <w:color w:val="000000"/>
        </w:rPr>
        <w:t xml:space="preserve">11) </w:t>
      </w:r>
      <w:r>
        <w:rPr>
          <w:color w:val="000000"/>
        </w:rPr>
        <w:t>w sprawie określenia zasad udzielania dotacji na prace konserwatorskie, restauratorskie lub roboty budowlane przy zabytku wpisanym do rejestru zabytków.</w:t>
      </w:r>
    </w:p>
    <w:p>
      <w:pPr>
        <w:pStyle w:val="Normal"/>
        <w:jc w:val="both"/>
        <w:rPr>
          <w:color w:val="000000"/>
        </w:rPr>
      </w:pPr>
      <w:r>
        <w:rPr/>
      </w:r>
    </w:p>
    <w:p>
      <w:pPr>
        <w:pStyle w:val="Normal"/>
        <w:jc w:val="both"/>
        <w:rPr/>
      </w:pPr>
      <w:r>
        <w:rPr/>
        <w:t xml:space="preserve">12) </w:t>
      </w:r>
      <w:r>
        <w:rPr/>
        <w:t>w sprawie ustalenia ryczałtowej stawki opłaty za gospodarowanie odpadami komunalnymi za rok od domku letniskowego lub od innej nieruchomości wykorzystywanej na cele rekreacyjno-wypoczynkowe jedynie przez część roku.</w:t>
      </w:r>
    </w:p>
    <w:p>
      <w:pPr>
        <w:pStyle w:val="Normal"/>
        <w:jc w:val="both"/>
        <w:rPr/>
      </w:pPr>
      <w:r>
        <w:rPr/>
      </w:r>
    </w:p>
    <w:p>
      <w:pPr>
        <w:pStyle w:val="Normal"/>
        <w:jc w:val="both"/>
        <w:rPr/>
      </w:pPr>
      <w:r>
        <w:rPr/>
        <w:t xml:space="preserve">13) </w:t>
      </w:r>
      <w:r>
        <w:rPr/>
        <w:t>w sprawie wyboru metody ustalenia opłaty za gospodarowanie odpadami komunalnymi oraz ustalenia stawki tej opłaty dla nieruchomości, na których zamieszkują mieszkańcy</w:t>
      </w:r>
    </w:p>
    <w:p>
      <w:pPr>
        <w:pStyle w:val="Normal"/>
        <w:jc w:val="both"/>
        <w:rPr/>
      </w:pPr>
      <w:r>
        <w:rPr/>
      </w:r>
    </w:p>
    <w:p>
      <w:pPr>
        <w:pStyle w:val="Normal"/>
        <w:jc w:val="both"/>
        <w:rPr/>
      </w:pPr>
      <w:r>
        <w:rPr/>
        <w:t xml:space="preserve">14) </w:t>
      </w:r>
      <w:r>
        <w:rPr/>
        <w:t>w sprawie zwolnienie w części z opłaty za gospodarowanie odpadami komunalnymi</w:t>
      </w:r>
    </w:p>
    <w:p>
      <w:pPr>
        <w:pStyle w:val="Normal"/>
        <w:jc w:val="both"/>
        <w:rPr/>
      </w:pPr>
      <w:r>
        <w:rPr/>
        <w:t xml:space="preserve"> </w:t>
      </w:r>
    </w:p>
    <w:p>
      <w:pPr>
        <w:pStyle w:val="Normal"/>
        <w:jc w:val="both"/>
        <w:rPr/>
      </w:pPr>
      <w:r>
        <w:rPr/>
        <w:t xml:space="preserve">15) </w:t>
      </w:r>
      <w:r>
        <w:rPr/>
        <w:t>w sprawie określenia wzoru deklaracji o wysokości opłaty za gospodarowanie odpadami komunalnymi, składanej przez właścicieli nieruchomości, na których znajdują się domki letniskowe lub inne nieruchomości wykorzystywane na cele rekreacyjno-wypoczynkowe jedynie przez część roku</w:t>
      </w:r>
    </w:p>
    <w:p>
      <w:pPr>
        <w:pStyle w:val="Normal"/>
        <w:jc w:val="both"/>
        <w:rPr>
          <w:b/>
          <w:b/>
        </w:rPr>
      </w:pPr>
      <w:r>
        <w:rPr>
          <w:b/>
        </w:rPr>
      </w:r>
    </w:p>
    <w:p>
      <w:pPr>
        <w:pStyle w:val="Normal"/>
        <w:rPr/>
      </w:pPr>
      <w:r>
        <w:rPr/>
      </w:r>
    </w:p>
    <w:p>
      <w:pPr>
        <w:pStyle w:val="ListParagraph"/>
        <w:ind w:left="0" w:hanging="0"/>
        <w:jc w:val="both"/>
        <w:rPr/>
      </w:pPr>
      <w:r>
        <w:rPr/>
        <w:t>2. Projekty uchwał stanowią załączniki nr 1 – 1</w:t>
      </w:r>
      <w:r>
        <w:rPr/>
        <w:t>5</w:t>
      </w:r>
      <w:r>
        <w:rPr/>
        <w:t xml:space="preserve"> do niniejszego zarządzenia. </w:t>
      </w:r>
    </w:p>
    <w:p>
      <w:pPr>
        <w:pStyle w:val="Normal"/>
        <w:rPr>
          <w:b/>
          <w:b/>
        </w:rPr>
      </w:pPr>
      <w:r>
        <w:rPr>
          <w:b/>
        </w:rPr>
      </w:r>
    </w:p>
    <w:p>
      <w:pPr>
        <w:pStyle w:val="Normal"/>
        <w:jc w:val="center"/>
        <w:rPr>
          <w:b/>
          <w:b/>
        </w:rPr>
      </w:pPr>
      <w:r>
        <w:rPr>
          <w:b/>
        </w:rPr>
        <w:t>§ 2</w:t>
      </w:r>
    </w:p>
    <w:p>
      <w:pPr>
        <w:pStyle w:val="Normal"/>
        <w:tabs>
          <w:tab w:val="clear" w:pos="708"/>
          <w:tab w:val="left" w:pos="360" w:leader="none"/>
        </w:tabs>
        <w:jc w:val="both"/>
        <w:rPr/>
      </w:pPr>
      <w:r>
        <w:rPr/>
        <w:t xml:space="preserve">Upoważnia się Martę Hercuń Inspektora ds. obsługi Rady Gminy do przedstawienia w czasie obrad Sesji projektów uchwał wymienionych w § 1 wraz z uzasadnieniem potrzeby jej przyjęcia. </w:t>
      </w:r>
    </w:p>
    <w:p>
      <w:pPr>
        <w:pStyle w:val="Normal"/>
        <w:jc w:val="center"/>
        <w:rPr>
          <w:b/>
          <w:b/>
        </w:rPr>
      </w:pPr>
      <w:r>
        <w:rPr>
          <w:b/>
        </w:rPr>
        <w:t>§ 3</w:t>
      </w:r>
    </w:p>
    <w:p>
      <w:pPr>
        <w:pStyle w:val="Normal"/>
        <w:jc w:val="both"/>
        <w:rPr/>
      </w:pPr>
      <w:r>
        <w:rPr/>
        <w:t>Wykonanie zarządzenia powierzam osobie wymienionej w § 2.</w:t>
      </w:r>
    </w:p>
    <w:p>
      <w:pPr>
        <w:pStyle w:val="Normal"/>
        <w:jc w:val="center"/>
        <w:rPr>
          <w:b/>
          <w:b/>
        </w:rPr>
      </w:pPr>
      <w:r>
        <w:rPr>
          <w:b/>
        </w:rPr>
      </w:r>
    </w:p>
    <w:p>
      <w:pPr>
        <w:pStyle w:val="Normal"/>
        <w:jc w:val="center"/>
        <w:rPr>
          <w:b/>
          <w:b/>
        </w:rPr>
      </w:pPr>
      <w:r>
        <w:rPr>
          <w:b/>
        </w:rPr>
        <w:t>§ 4</w:t>
      </w:r>
    </w:p>
    <w:p>
      <w:pPr>
        <w:pStyle w:val="Normal"/>
        <w:rPr>
          <w:b/>
          <w:b/>
        </w:rPr>
      </w:pPr>
      <w:r>
        <w:rPr/>
        <w:t xml:space="preserve">Zarządzenie wchodzi w życie z dniem podjęcia. </w:t>
      </w:r>
    </w:p>
    <w:p>
      <w:pPr>
        <w:pStyle w:val="Normal"/>
        <w:rPr/>
      </w:pPr>
      <w:r>
        <w:rPr/>
        <w:t xml:space="preserve">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rPr/>
      </w:pPr>
      <w:r>
        <w:rPr>
          <w:sz w:val="18"/>
          <w:szCs w:val="18"/>
        </w:rPr>
        <w:t xml:space="preserve">                                                                                                                            </w:t>
      </w:r>
      <w:r>
        <w:rPr>
          <w:sz w:val="18"/>
          <w:szCs w:val="18"/>
        </w:rPr>
        <w:t xml:space="preserve">Załącznik Nr 1 do Zarządzenia Nr  </w:t>
      </w:r>
      <w:r>
        <w:rPr>
          <w:sz w:val="18"/>
          <w:szCs w:val="18"/>
        </w:rPr>
        <w:t>379/2020</w:t>
      </w:r>
    </w:p>
    <w:p>
      <w:pPr>
        <w:pStyle w:val="Normal"/>
        <w:spacing w:lineRule="auto" w:line="240"/>
        <w:rPr>
          <w:sz w:val="18"/>
          <w:szCs w:val="18"/>
        </w:rPr>
      </w:pPr>
      <w:r>
        <w:rPr>
          <w:sz w:val="18"/>
          <w:szCs w:val="18"/>
        </w:rPr>
        <w:t xml:space="preserve">                                                                                                                            </w:t>
      </w:r>
      <w:r>
        <w:rPr>
          <w:sz w:val="18"/>
          <w:szCs w:val="18"/>
        </w:rPr>
        <w:t xml:space="preserve">Wójta Gminy Kamieniec Ząbkowicki </w:t>
      </w:r>
    </w:p>
    <w:p>
      <w:pPr>
        <w:pStyle w:val="Normal"/>
        <w:spacing w:lineRule="auto" w:line="240"/>
        <w:rPr/>
      </w:pPr>
      <w:r>
        <w:rPr>
          <w:sz w:val="18"/>
          <w:szCs w:val="18"/>
        </w:rPr>
        <w:t xml:space="preserve">                                                                                                                            </w:t>
      </w:r>
      <w:r>
        <w:rPr>
          <w:sz w:val="18"/>
          <w:szCs w:val="18"/>
        </w:rPr>
        <w:t xml:space="preserve">z dnia </w:t>
      </w:r>
      <w:r>
        <w:rPr>
          <w:sz w:val="18"/>
          <w:szCs w:val="18"/>
        </w:rPr>
        <w:t>3 listopada</w:t>
      </w:r>
      <w:r>
        <w:rPr>
          <w:sz w:val="18"/>
          <w:szCs w:val="18"/>
        </w:rPr>
        <w:t xml:space="preserve"> 2020 r.</w:t>
      </w:r>
    </w:p>
    <w:p>
      <w:pPr>
        <w:pStyle w:val="Normal"/>
        <w:rPr>
          <w:b/>
          <w:b/>
          <w:bCs/>
          <w:sz w:val="18"/>
          <w:szCs w:val="18"/>
        </w:rPr>
      </w:pPr>
      <w:r>
        <w:rPr/>
      </w:r>
    </w:p>
    <w:p>
      <w:pPr>
        <w:pStyle w:val="Normal"/>
        <w:rPr>
          <w:b/>
          <w:b/>
          <w:bCs/>
          <w:sz w:val="18"/>
          <w:szCs w:val="18"/>
        </w:rPr>
      </w:pPr>
      <w:r>
        <w:rPr/>
      </w:r>
    </w:p>
    <w:p>
      <w:pPr>
        <w:pStyle w:val="Normal"/>
        <w:rPr>
          <w:b/>
          <w:b/>
          <w:bCs/>
          <w:sz w:val="18"/>
          <w:szCs w:val="18"/>
        </w:rPr>
      </w:pPr>
      <w:r>
        <w:rPr/>
      </w:r>
    </w:p>
    <w:p>
      <w:pPr>
        <w:pStyle w:val="Normal"/>
        <w:rPr/>
      </w:pPr>
      <w:r>
        <w:rPr>
          <w:b/>
          <w:bCs/>
          <w:sz w:val="18"/>
          <w:szCs w:val="18"/>
        </w:rPr>
        <w:t xml:space="preserve">                                                                              </w:t>
      </w:r>
      <w:r>
        <w:rPr>
          <w:b/>
          <w:bCs/>
        </w:rPr>
        <w:t xml:space="preserve">U C H W A Ł A  nr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jc w:val="center"/>
        <w:rPr>
          <w:b/>
          <w:b/>
          <w:bCs/>
        </w:rPr>
      </w:pPr>
      <w:r>
        <w:rPr>
          <w:b/>
          <w:bCs/>
        </w:rPr>
        <w:t>Rady  Gminy  Kamieniec  Ząbkowicki</w:t>
      </w:r>
    </w:p>
    <w:p>
      <w:pPr>
        <w:pStyle w:val="Normal"/>
        <w:autoSpaceDE w:val="false"/>
        <w:jc w:val="center"/>
        <w:rPr>
          <w:b/>
          <w:b/>
          <w:bCs/>
        </w:rPr>
      </w:pPr>
      <w:r>
        <w:rPr>
          <w:b/>
          <w:bCs/>
        </w:rPr>
        <w:t>z dnia</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lineRule="auto" w:line="360"/>
        <w:ind w:right="170" w:hanging="0"/>
        <w:rPr/>
      </w:pPr>
      <w:r>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lineRule="auto" w:line="360"/>
        <w:ind w:right="170" w:hanging="0"/>
        <w:jc w:val="both"/>
        <w:rPr/>
      </w:pPr>
      <w:r>
        <w:rPr>
          <w:b/>
          <w:bCs/>
        </w:rPr>
        <w:t xml:space="preserve">w sprawie </w:t>
      </w:r>
      <w:r>
        <w:rPr/>
        <w:t>wprowadzenia zmian w wieloletniej prognozie finansowej Gminy Kamieniec Ząbkowicki</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lineRule="auto" w:line="360"/>
        <w:ind w:right="170" w:hanging="0"/>
        <w:rPr/>
      </w:pPr>
      <w:r>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firstLine="709"/>
        <w:jc w:val="both"/>
        <w:rPr/>
      </w:pPr>
      <w:r>
        <w:rPr/>
        <w:t>Na podstawie art. 18 ust. 2 pkt 15 ustawy z dnia 8 marca 1990 r. o samorządzie gminnym (t.j. Dz.U. z 2020 r. poz. 713), art. 226 - 228, art. 230 ust. 6, art. 231 ust. 1 i art. 232 ustawy z dnia 27 sierpnia 2009 r. o finansach publicznych (t.j. Dz.U. z 2019 r. poz. 869 ze zm.), Rada Gminy w Kamieńcu Ząbkowickim uchwala, co następuje:</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pPr>
      <w:r>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pPr>
      <w:r>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before="240" w:after="240"/>
        <w:ind w:right="170" w:hanging="0"/>
        <w:jc w:val="center"/>
        <w:rPr>
          <w:b/>
          <w:b/>
          <w:bCs/>
        </w:rPr>
      </w:pPr>
      <w:r>
        <w:rPr>
          <w:b/>
          <w:bCs/>
        </w:rPr>
        <w:t>§ 1</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pPr>
      <w:r>
        <w:rPr/>
        <w:t>W uchwale nr XIV/113/2019 Rady Gminy Kamieniec Ząbkowicki z dnia 30 grudnia 2019 r. w sprawie przyjęcia wieloletniej prognozy finansowej Gminy Kamieniec Ząbkowicki wprowadza się następujące zmiany:</w:t>
      </w:r>
    </w:p>
    <w:p>
      <w:pPr>
        <w:pStyle w:val="Normal"/>
        <w:widowControl w:val="false"/>
        <w:numPr>
          <w:ilvl w:val="0"/>
          <w:numId w:val="1"/>
        </w:numPr>
        <w:tabs>
          <w:tab w:val="left" w:pos="360"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autoSpaceDE w:val="false"/>
        <w:spacing w:before="120" w:after="0"/>
        <w:jc w:val="both"/>
        <w:rPr/>
      </w:pPr>
      <w:r>
        <w:rPr/>
        <w:t>załącznik nr 2 do uchwały, stanowiący wykaz przedsięwzięć, otrzymuje brzmienie określone w załączniku nr 1 do niniejszej uchwały.</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before="240" w:after="240"/>
        <w:ind w:right="170" w:hanging="0"/>
        <w:jc w:val="center"/>
        <w:rPr>
          <w:b/>
          <w:b/>
          <w:bCs/>
        </w:rPr>
      </w:pPr>
      <w:r>
        <w:rPr>
          <w:b/>
          <w:bCs/>
        </w:rPr>
        <w:t>§ 2</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pPr>
      <w:r>
        <w:rPr/>
        <w:t>Wykonanie uchwały powierza się Wójtowi Gminy Kamieniec Ząbkowicki.</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spacing w:before="240" w:after="240"/>
        <w:ind w:right="170" w:hanging="0"/>
        <w:jc w:val="center"/>
        <w:rPr>
          <w:b/>
          <w:b/>
          <w:bCs/>
        </w:rPr>
      </w:pPr>
      <w:r>
        <w:rPr>
          <w:b/>
          <w:bCs/>
        </w:rPr>
        <w:t>§ 3</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pPr>
      <w:r>
        <w:rPr/>
        <w:t>Uchwała wchodzi w życie z dniem podjęci</w:t>
      </w:r>
      <w:r>
        <w:rPr/>
        <w:t xml:space="preserve">a. </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center"/>
        <w:rPr>
          <w:b/>
          <w:b/>
          <w:bCs/>
        </w:rPr>
      </w:pPr>
      <w:r>
        <w:rPr>
          <w:b/>
          <w:bCs/>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center"/>
        <w:rPr>
          <w:b/>
          <w:b/>
          <w:bCs/>
        </w:rPr>
      </w:pPr>
      <w:r>
        <w:rPr>
          <w:b/>
          <w:bCs/>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center"/>
        <w:rPr>
          <w:b/>
          <w:b/>
          <w:bCs/>
        </w:rPr>
      </w:pPr>
      <w:r>
        <w:rPr>
          <w:b/>
          <w:bCs/>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center"/>
        <w:rPr>
          <w:b/>
          <w:b/>
          <w:bCs/>
        </w:rPr>
      </w:pPr>
      <w:r>
        <w:rPr>
          <w:b/>
          <w:bCs/>
        </w:rPr>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center"/>
        <w:rPr>
          <w:b/>
          <w:b/>
          <w:bCs/>
        </w:rPr>
      </w:pPr>
      <w:r>
        <w:rPr>
          <w:b/>
          <w:bCs/>
        </w:rPr>
        <w:t>Uzasadnienie</w:t>
      </w:r>
    </w:p>
    <w:p>
      <w:pPr>
        <w:pStyle w:val="Normal"/>
        <w:widowControl w:val="false"/>
        <w:tabs>
          <w:tab w:val="clear" w:pos="708"/>
          <w:tab w:val="left" w:pos="10828"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s>
        <w:autoSpaceDE w:val="false"/>
        <w:ind w:right="170" w:hanging="0"/>
        <w:jc w:val="both"/>
        <w:rPr>
          <w:b/>
          <w:b/>
          <w:bCs/>
        </w:rPr>
      </w:pPr>
      <w:r>
        <w:rPr>
          <w:b/>
          <w:bCs/>
        </w:rPr>
      </w:r>
    </w:p>
    <w:p>
      <w:pPr>
        <w:pStyle w:val="Normal"/>
        <w:widowControl w:val="false"/>
        <w:tabs>
          <w:tab w:val="clear" w:pos="708"/>
          <w:tab w:val="decimal" w:pos="8280"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s>
        <w:autoSpaceDE w:val="false"/>
        <w:jc w:val="both"/>
        <w:rPr/>
      </w:pPr>
      <w:r>
        <w:rPr/>
        <w:t>Zmiany wprowadzone niniejszą uchwałą aktualizują limity zobowiązań i kwoty wydatków w poszczególnych latach na przedsięwzięciu dotyczącym odbioru, zagospodarowania i wywozu nieczystości komunalnych z terenu Gminy.</w:t>
      </w:r>
    </w:p>
    <w:p>
      <w:pPr>
        <w:pStyle w:val="Normal"/>
        <w:widowControl w:val="false"/>
        <w:autoSpaceDE w:val="false"/>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sz w:val="18"/>
          <w:szCs w:val="18"/>
        </w:rPr>
      </w:pPr>
      <w:r>
        <w:rPr/>
      </w:r>
    </w:p>
    <w:p>
      <w:pPr>
        <w:pStyle w:val="Normal"/>
        <w:spacing w:lineRule="auto" w:line="240"/>
        <w:rPr/>
      </w:pPr>
      <w:r>
        <w:rPr>
          <w:sz w:val="18"/>
          <w:szCs w:val="18"/>
        </w:rPr>
        <w:t xml:space="preserve">                                                                                                                            </w:t>
      </w:r>
      <w:r>
        <w:rPr>
          <w:sz w:val="18"/>
          <w:szCs w:val="18"/>
        </w:rPr>
        <w:t xml:space="preserve">Załącznik Nr </w:t>
      </w:r>
      <w:r>
        <w:rPr>
          <w:sz w:val="18"/>
          <w:szCs w:val="18"/>
        </w:rPr>
        <w:t>2</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 xml:space="preserve">z dnia </w:t>
      </w:r>
      <w:r>
        <w:rPr>
          <w:sz w:val="18"/>
          <w:szCs w:val="18"/>
        </w:rPr>
        <w:t>3 listopada</w:t>
      </w:r>
      <w:r>
        <w:rPr>
          <w:sz w:val="18"/>
          <w:szCs w:val="18"/>
        </w:rPr>
        <w:t xml:space="preserve"> 2020 r.</w:t>
      </w:r>
    </w:p>
    <w:p>
      <w:pPr>
        <w:pStyle w:val="Normal"/>
        <w:rPr/>
      </w:pPr>
      <w:r>
        <w:rPr/>
      </w:r>
    </w:p>
    <w:p>
      <w:pPr>
        <w:pStyle w:val="Normal"/>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jc w:val="center"/>
        <w:rPr/>
      </w:pPr>
      <w:r>
        <w:rPr>
          <w:b/>
          <w:bCs/>
        </w:rPr>
        <w:t xml:space="preserve">U C H W A Ł A  nr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jc w:val="center"/>
        <w:rPr>
          <w:b/>
          <w:b/>
          <w:bCs/>
        </w:rPr>
      </w:pPr>
      <w:r>
        <w:rPr>
          <w:b/>
          <w:bCs/>
        </w:rPr>
        <w:t>Rady  Gminy  Kamieniec  Ząbkowicki</w:t>
      </w:r>
    </w:p>
    <w:p>
      <w:pPr>
        <w:pStyle w:val="Normal"/>
        <w:autoSpaceDE w:val="false"/>
        <w:jc w:val="center"/>
        <w:rPr>
          <w:b/>
          <w:b/>
          <w:bCs/>
        </w:rPr>
      </w:pPr>
      <w:r>
        <w:rPr>
          <w:b/>
          <w:bCs/>
        </w:rPr>
        <w:t xml:space="preserve">z dnia </w:t>
      </w:r>
    </w:p>
    <w:p>
      <w:pPr>
        <w:pStyle w:val="Normal"/>
        <w:rPr>
          <w:b/>
          <w:b/>
        </w:rPr>
      </w:pPr>
      <w:r>
        <w:rPr>
          <w:b/>
        </w:rPr>
      </w:r>
    </w:p>
    <w:p>
      <w:pPr>
        <w:pStyle w:val="Normal"/>
        <w:rPr>
          <w:b/>
          <w:b/>
        </w:rPr>
      </w:pPr>
      <w:r>
        <w:rPr>
          <w:b/>
        </w:rPr>
      </w:r>
    </w:p>
    <w:p>
      <w:pPr>
        <w:pStyle w:val="Normal"/>
        <w:rPr>
          <w:b/>
          <w:b/>
        </w:rPr>
      </w:pPr>
      <w:r>
        <w:rPr>
          <w:b/>
        </w:rPr>
      </w:r>
    </w:p>
    <w:p>
      <w:pPr>
        <w:pStyle w:val="Normal"/>
        <w:jc w:val="both"/>
        <w:rPr/>
      </w:pPr>
      <w:r>
        <w:rPr>
          <w:b/>
        </w:rPr>
        <w:t xml:space="preserve">w sprawie </w:t>
      </w:r>
      <w:r>
        <w:rPr/>
        <w:t>zmiany uchwały XVIII/146/2020 Rady  Gminy  Kamieniec  Ząbkowicki z dnia 30 kwietnia 2020 r. w sprawie udzielenia pomocy finansowej dla Powiatu Ząbkowickiego z budżetu Gminy Kamieniec Ząbkowicki.</w:t>
      </w:r>
    </w:p>
    <w:p>
      <w:pPr>
        <w:pStyle w:val="Normal"/>
        <w:rPr/>
      </w:pPr>
      <w:r>
        <w:rPr/>
      </w:r>
    </w:p>
    <w:p>
      <w:pPr>
        <w:pStyle w:val="Normal"/>
        <w:rPr/>
      </w:pPr>
      <w:r>
        <w:rPr/>
      </w:r>
    </w:p>
    <w:p>
      <w:pPr>
        <w:pStyle w:val="Normal"/>
        <w:rPr/>
      </w:pPr>
      <w:r>
        <w:rPr/>
      </w:r>
    </w:p>
    <w:p>
      <w:pPr>
        <w:pStyle w:val="Normal"/>
        <w:rPr/>
      </w:pPr>
      <w:r>
        <w:rPr/>
      </w:r>
    </w:p>
    <w:p>
      <w:pPr>
        <w:pStyle w:val="Normal"/>
        <w:ind w:firstLine="709"/>
        <w:jc w:val="both"/>
        <w:rPr/>
      </w:pPr>
      <w:r>
        <w:rPr/>
        <w:t>Na podstawie art. 18 ust. 1 i art. 10 ust. 2 ustawy z dnia 8 marca 1990 roku o samorządzie gminnym (tekst jedn. Dz.U. z 2020 r. poz. 713), art. 47 ustawy z dnia 13 listopada 2003 r. o dochodach jednostek samorządu terytorialnego (tekst jedn. Dz.U. z 2020 r. poz. 23 ze zm.) oraz art.216 ust.2 pkt 5 w związku z art. 220 ustawy z dnia 27 sierpnia 2009 roku o finansach publicznych (tekst jedn. Dz.U. z 2019 r. poz. 869 ze zm.) Rada Gminy uchwala co następuje:</w:t>
      </w:r>
    </w:p>
    <w:p>
      <w:pPr>
        <w:pStyle w:val="Normal"/>
        <w:spacing w:before="240" w:after="240"/>
        <w:jc w:val="center"/>
        <w:rPr/>
      </w:pPr>
      <w:r>
        <w:rPr>
          <w:b/>
        </w:rPr>
        <w:t>§ 1</w:t>
      </w:r>
    </w:p>
    <w:p>
      <w:pPr>
        <w:pStyle w:val="Normal"/>
        <w:tabs>
          <w:tab w:val="clear" w:pos="708"/>
          <w:tab w:val="decimal" w:pos="8280" w:leader="none"/>
        </w:tabs>
        <w:jc w:val="both"/>
        <w:rPr/>
      </w:pPr>
      <w:r>
        <w:rPr/>
        <w:t>W uchwale nr XVIII/146/2020 Rady Gminy Kamieniec Ząbkowicki z dnia 30 kwietnia 2020 r. w sprawie udzielenia pomocy finansowej dla Powiatu Ząbkowickiego z budżetu Gminy Kamieniec Ząbkowicki wprowadza się następujące zmiany:</w:t>
      </w:r>
    </w:p>
    <w:p>
      <w:pPr>
        <w:pStyle w:val="Normal"/>
        <w:tabs>
          <w:tab w:val="clear" w:pos="708"/>
          <w:tab w:val="decimal" w:pos="8280" w:leader="none"/>
        </w:tabs>
        <w:jc w:val="both"/>
        <w:rPr/>
      </w:pPr>
      <w:r>
        <w:rPr/>
      </w:r>
    </w:p>
    <w:p>
      <w:pPr>
        <w:pStyle w:val="Normal"/>
        <w:tabs>
          <w:tab w:val="clear" w:pos="708"/>
          <w:tab w:val="decimal" w:pos="8280" w:leader="none"/>
        </w:tabs>
        <w:jc w:val="both"/>
        <w:rPr/>
      </w:pPr>
      <w:r>
        <w:rPr/>
        <w:t>- § 1 otrzymuje następujące brzmienie:</w:t>
      </w:r>
    </w:p>
    <w:p>
      <w:pPr>
        <w:pStyle w:val="Normal"/>
        <w:tabs>
          <w:tab w:val="clear" w:pos="708"/>
          <w:tab w:val="decimal" w:pos="8280" w:leader="none"/>
        </w:tabs>
        <w:jc w:val="both"/>
        <w:rPr/>
      </w:pPr>
      <w:r>
        <w:rPr/>
      </w:r>
    </w:p>
    <w:p>
      <w:pPr>
        <w:pStyle w:val="Normal"/>
        <w:tabs>
          <w:tab w:val="clear" w:pos="708"/>
          <w:tab w:val="decimal" w:pos="8280" w:leader="none"/>
        </w:tabs>
        <w:jc w:val="both"/>
        <w:rPr/>
      </w:pPr>
      <w:r>
        <w:rPr/>
        <w:t>„</w:t>
      </w:r>
      <w:r>
        <w:rPr/>
        <w:t>§ 1. Udziela się z budżetu Gminy Kamieniec Ząbkowicki pomocy finansowej dla Powiatu Ząbkowickiego w wysokości do 15 375,00 zł (słownie: piętnaście tysięcy trzysta siedemdziesiąt pięć złotych) z przeznaczeniem na współfinansowanie dokumentacji projektowej na przebudowę drogi powiatowej nr 3178 D w miejscowości Kamieniec Ząbkowicki ul. Wiejska i Szkolna, wraz z budową chodnika, kanalizacji deszczowej oraz niezbędnej infrastruktury drogowej.”.</w:t>
      </w:r>
    </w:p>
    <w:p>
      <w:pPr>
        <w:pStyle w:val="Normal"/>
        <w:spacing w:before="240" w:after="240"/>
        <w:jc w:val="center"/>
        <w:rPr/>
      </w:pPr>
      <w:r>
        <w:rPr>
          <w:b/>
        </w:rPr>
        <w:t>§ 2</w:t>
      </w:r>
    </w:p>
    <w:p>
      <w:pPr>
        <w:pStyle w:val="Normal"/>
        <w:tabs>
          <w:tab w:val="clear" w:pos="708"/>
          <w:tab w:val="decimal" w:pos="8280" w:leader="none"/>
        </w:tabs>
        <w:jc w:val="both"/>
        <w:rPr/>
      </w:pPr>
      <w:r>
        <w:rPr/>
        <w:t>Wykonanie uchwały powierza się Wójtowi Gminy Kamieniec Ząbkowicki.</w:t>
      </w:r>
    </w:p>
    <w:p>
      <w:pPr>
        <w:pStyle w:val="Normal"/>
        <w:spacing w:before="240" w:after="240"/>
        <w:jc w:val="center"/>
        <w:rPr/>
      </w:pPr>
      <w:r>
        <w:rPr>
          <w:b/>
        </w:rPr>
        <w:t>§ 3</w:t>
      </w:r>
    </w:p>
    <w:p>
      <w:pPr>
        <w:pStyle w:val="Normal"/>
        <w:tabs>
          <w:tab w:val="clear" w:pos="708"/>
          <w:tab w:val="decimal" w:pos="8280" w:leader="none"/>
        </w:tabs>
        <w:jc w:val="both"/>
        <w:rPr/>
      </w:pPr>
      <w:r>
        <w:rPr/>
        <w:t>Uchwała wchodzi w życie z dniem podjęcia.</w:t>
      </w:r>
    </w:p>
    <w:p>
      <w:pPr>
        <w:pStyle w:val="Normal"/>
        <w:tabs>
          <w:tab w:val="clear" w:pos="708"/>
          <w:tab w:val="decimal" w:pos="8280" w:leader="none"/>
        </w:tabs>
        <w:jc w:val="both"/>
        <w:rPr/>
      </w:pPr>
      <w:r>
        <w:rPr/>
      </w:r>
    </w:p>
    <w:p>
      <w:pPr>
        <w:pStyle w:val="Normal"/>
        <w:tabs>
          <w:tab w:val="clear" w:pos="708"/>
          <w:tab w:val="decimal" w:pos="8280" w:leader="none"/>
        </w:tabs>
        <w:jc w:val="both"/>
        <w:rPr/>
      </w:pPr>
      <w:r>
        <w:rPr/>
      </w:r>
    </w:p>
    <w:p>
      <w:pPr>
        <w:pStyle w:val="Normal"/>
        <w:ind w:right="-180" w:hanging="0"/>
        <w:rPr/>
      </w:pPr>
      <w:r>
        <w:rPr/>
        <w:tab/>
        <w:tab/>
        <w:tab/>
        <w:tab/>
        <w:tab/>
        <w:tab/>
        <w:tab/>
        <w:tab/>
      </w:r>
    </w:p>
    <w:p>
      <w:pPr>
        <w:pStyle w:val="Normal"/>
        <w:ind w:left="4956" w:right="-180" w:firstLine="708"/>
        <w:rPr/>
      </w:pPr>
      <w:r>
        <w:rPr/>
      </w:r>
    </w:p>
    <w:p>
      <w:pPr>
        <w:pStyle w:val="Normal"/>
        <w:tabs>
          <w:tab w:val="clear" w:pos="708"/>
          <w:tab w:val="decimal" w:pos="8280" w:leader="none"/>
        </w:tabs>
        <w:jc w:val="both"/>
        <w:rPr/>
      </w:pPr>
      <w:r>
        <w:rPr/>
      </w:r>
    </w:p>
    <w:p>
      <w:pPr>
        <w:pStyle w:val="Normal"/>
        <w:tabs>
          <w:tab w:val="clear" w:pos="708"/>
          <w:tab w:val="decimal" w:pos="8280" w:leader="none"/>
        </w:tabs>
        <w:jc w:val="both"/>
        <w:rPr/>
      </w:pPr>
      <w:r>
        <w:rPr/>
      </w:r>
    </w:p>
    <w:p>
      <w:pPr>
        <w:pStyle w:val="Normal"/>
        <w:tabs>
          <w:tab w:val="clear" w:pos="708"/>
          <w:tab w:val="decimal" w:pos="8280" w:leader="none"/>
        </w:tabs>
        <w:jc w:val="both"/>
        <w:rPr/>
      </w:pPr>
      <w:r>
        <w:rPr/>
      </w:r>
    </w:p>
    <w:p>
      <w:pPr>
        <w:pStyle w:val="Normal"/>
        <w:tabs>
          <w:tab w:val="clear" w:pos="708"/>
          <w:tab w:val="decimal" w:pos="8280" w:leader="none"/>
        </w:tabs>
        <w:jc w:val="both"/>
        <w:rPr/>
      </w:pPr>
      <w:r>
        <w:rPr/>
      </w:r>
    </w:p>
    <w:p>
      <w:pPr>
        <w:pStyle w:val="Normal"/>
        <w:tabs>
          <w:tab w:val="clear" w:pos="708"/>
          <w:tab w:val="decimal" w:pos="8280" w:leader="none"/>
        </w:tabs>
        <w:jc w:val="both"/>
        <w:rPr/>
      </w:pPr>
      <w:r>
        <w:rPr/>
      </w:r>
    </w:p>
    <w:p>
      <w:pPr>
        <w:pStyle w:val="Normal"/>
        <w:tabs>
          <w:tab w:val="clear" w:pos="708"/>
          <w:tab w:val="decimal" w:pos="8280" w:leader="none"/>
        </w:tabs>
        <w:jc w:val="center"/>
        <w:rPr>
          <w:b/>
          <w:b/>
        </w:rPr>
      </w:pPr>
      <w:r>
        <w:rPr>
          <w:b/>
        </w:rPr>
      </w:r>
    </w:p>
    <w:p>
      <w:pPr>
        <w:pStyle w:val="Normal"/>
        <w:tabs>
          <w:tab w:val="clear" w:pos="708"/>
          <w:tab w:val="decimal" w:pos="8280" w:leader="none"/>
        </w:tabs>
        <w:jc w:val="center"/>
        <w:rPr>
          <w:b/>
          <w:b/>
        </w:rPr>
      </w:pPr>
      <w:r>
        <w:rPr>
          <w:b/>
        </w:rPr>
      </w:r>
    </w:p>
    <w:p>
      <w:pPr>
        <w:pStyle w:val="Normal"/>
        <w:tabs>
          <w:tab w:val="clear" w:pos="708"/>
          <w:tab w:val="decimal" w:pos="8280" w:leader="none"/>
        </w:tabs>
        <w:jc w:val="center"/>
        <w:rPr>
          <w:b/>
          <w:b/>
        </w:rPr>
      </w:pPr>
      <w:r>
        <w:rPr>
          <w:b/>
        </w:rPr>
      </w:r>
    </w:p>
    <w:p>
      <w:pPr>
        <w:pStyle w:val="Normal"/>
        <w:tabs>
          <w:tab w:val="clear" w:pos="708"/>
          <w:tab w:val="decimal" w:pos="8280" w:leader="none"/>
        </w:tabs>
        <w:jc w:val="center"/>
        <w:rPr>
          <w:b/>
          <w:b/>
        </w:rPr>
      </w:pPr>
      <w:r>
        <w:rPr>
          <w:b/>
        </w:rPr>
        <w:t>Uzasadnienie</w:t>
      </w:r>
    </w:p>
    <w:p>
      <w:pPr>
        <w:pStyle w:val="Normal"/>
        <w:tabs>
          <w:tab w:val="clear" w:pos="708"/>
          <w:tab w:val="decimal" w:pos="8280" w:leader="none"/>
        </w:tabs>
        <w:jc w:val="both"/>
        <w:rPr>
          <w:b/>
          <w:b/>
        </w:rPr>
      </w:pPr>
      <w:r>
        <w:rPr>
          <w:b/>
        </w:rPr>
      </w:r>
    </w:p>
    <w:p>
      <w:pPr>
        <w:pStyle w:val="Normal"/>
        <w:tabs>
          <w:tab w:val="clear" w:pos="708"/>
          <w:tab w:val="decimal" w:pos="8280" w:leader="none"/>
        </w:tabs>
        <w:jc w:val="both"/>
        <w:rPr/>
      </w:pPr>
      <w:r>
        <w:rPr/>
        <w:t xml:space="preserve">Zmiana określona niniejszą uchwałą wynika ze zwiększenia wartości zadania przewidzianego do współfinansowania przez Gminę Kamieniec Ząbkowicki. </w:t>
      </w:r>
    </w:p>
    <w:p>
      <w:pPr>
        <w:pStyle w:val="Normal"/>
        <w:tabs>
          <w:tab w:val="clear" w:pos="708"/>
          <w:tab w:val="decimal" w:pos="8280" w:leader="none"/>
        </w:tabs>
        <w:jc w:val="both"/>
        <w:rPr/>
      </w:pPr>
      <w:r>
        <w:rPr/>
        <w:t>Zgodnie z ustawą o samorządzie gminnym oraz ustawą o finansach publicznych jednostka organizacyjna samorządu jaką jest Gmina Kamieniec Ząbkowicki może udzielać pomocy finansowej innej jednostce samorządu, w tym wypadku Powiatowi Ząbkowickiemu, który włada drogami powiatowymi. Uwzględniając powyższe podjęcie niniejszej uchwały jest zasadne.</w:t>
      </w:r>
    </w:p>
    <w:p>
      <w:pPr>
        <w:pStyle w:val="Normal"/>
        <w:rPr/>
      </w:pPr>
      <w:r>
        <w:rPr/>
        <w:t xml:space="preserve">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3</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jc w:val="center"/>
        <w:rPr/>
      </w:pPr>
      <w:r>
        <w:rPr>
          <w:b/>
          <w:bCs/>
        </w:rPr>
        <w:t xml:space="preserve">U C H W A Ł A  nr  </w:t>
      </w:r>
    </w:p>
    <w:p>
      <w:pPr>
        <w:pStyle w:val="Normal"/>
        <w:autoSpaceDE w:val="false"/>
        <w:jc w:val="center"/>
        <w:rPr>
          <w:b/>
          <w:b/>
          <w:bCs/>
        </w:rPr>
      </w:pPr>
      <w:r>
        <w:rPr>
          <w:b/>
          <w:bCs/>
        </w:rPr>
        <w:t>Rady  Gminy  Kamieniec  Ząbkowicki</w:t>
      </w:r>
    </w:p>
    <w:p>
      <w:pPr>
        <w:pStyle w:val="Normal"/>
        <w:autoSpaceDE w:val="false"/>
        <w:jc w:val="center"/>
        <w:rPr/>
      </w:pPr>
      <w:r>
        <w:rPr>
          <w:b/>
          <w:bCs/>
        </w:rPr>
        <w:t xml:space="preserve">z dnia </w:t>
      </w:r>
    </w:p>
    <w:p>
      <w:pPr>
        <w:pStyle w:val="Normal"/>
        <w:ind w:left="-180" w:hanging="0"/>
        <w:rPr>
          <w:b/>
          <w:b/>
        </w:rPr>
      </w:pPr>
      <w:r>
        <w:rPr>
          <w:b/>
        </w:rPr>
      </w:r>
    </w:p>
    <w:p>
      <w:pPr>
        <w:pStyle w:val="Normal"/>
        <w:ind w:left="-180" w:hanging="0"/>
        <w:rPr/>
      </w:pPr>
      <w:r>
        <w:rPr>
          <w:b/>
        </w:rPr>
        <w:t xml:space="preserve">w sprawie </w:t>
      </w:r>
      <w:r>
        <w:rPr/>
        <w:t>wprowadzenia zmian w budżecie gminy na rok 2020.</w:t>
      </w:r>
    </w:p>
    <w:p>
      <w:pPr>
        <w:pStyle w:val="Normal"/>
        <w:ind w:left="-180" w:hanging="0"/>
        <w:rPr/>
      </w:pPr>
      <w:r>
        <w:rPr/>
      </w:r>
    </w:p>
    <w:p>
      <w:pPr>
        <w:pStyle w:val="Normal"/>
        <w:ind w:left="-180" w:firstLine="709"/>
        <w:jc w:val="both"/>
        <w:rPr/>
      </w:pPr>
      <w:r>
        <w:rPr/>
        <w:t>Na podstawie art.18 ust.2 pkt 4 ustawy z dnia 8 marca 1990 r. o samorządzie gminnym (t.j. Dz.U. z 2020 r. poz. 713) oraz art.212 ust.1 ustawy z dnia 27 sierpnia 2009 r. o finansach publicznych (t.j. Dz.U. z 2019 r. poz. 869 ze zm.) Rada Gminy w Kamieńcu Ząbkowickim uchwala co następuje:</w:t>
      </w:r>
    </w:p>
    <w:p>
      <w:pPr>
        <w:pStyle w:val="Normal"/>
        <w:spacing w:before="240" w:after="240"/>
        <w:ind w:left="-180" w:hanging="0"/>
        <w:jc w:val="center"/>
        <w:rPr>
          <w:b/>
          <w:b/>
        </w:rPr>
      </w:pPr>
      <w:r>
        <w:rPr>
          <w:b/>
        </w:rPr>
        <w:t>§ 1</w:t>
      </w:r>
    </w:p>
    <w:p>
      <w:pPr>
        <w:pStyle w:val="Normal"/>
        <w:tabs>
          <w:tab w:val="clear" w:pos="708"/>
          <w:tab w:val="decimal" w:pos="8280" w:leader="none"/>
        </w:tabs>
        <w:ind w:left="-180" w:hanging="0"/>
        <w:jc w:val="both"/>
        <w:rPr/>
      </w:pPr>
      <w:r>
        <w:rPr/>
        <w:t>Zmienia się plan dochodów budżetu gminy zgodnie z załącznikiem nr 1 do uchwały.</w:t>
      </w:r>
    </w:p>
    <w:p>
      <w:pPr>
        <w:pStyle w:val="Normal"/>
        <w:spacing w:before="240" w:after="240"/>
        <w:ind w:left="-180" w:hanging="0"/>
        <w:jc w:val="center"/>
        <w:rPr>
          <w:b/>
          <w:b/>
        </w:rPr>
      </w:pPr>
      <w:r>
        <w:rPr>
          <w:b/>
        </w:rPr>
        <w:t>§ 2</w:t>
      </w:r>
    </w:p>
    <w:p>
      <w:pPr>
        <w:pStyle w:val="Normal"/>
        <w:tabs>
          <w:tab w:val="clear" w:pos="708"/>
          <w:tab w:val="decimal" w:pos="8280" w:leader="none"/>
        </w:tabs>
        <w:ind w:left="-180" w:hanging="0"/>
        <w:jc w:val="both"/>
        <w:rPr/>
      </w:pPr>
      <w:r>
        <w:rPr/>
        <w:t>Zmienia się plan wydatków budżetu gminy zgodnie z załącznikiem nr 2 do uchwały.</w:t>
      </w:r>
    </w:p>
    <w:p>
      <w:pPr>
        <w:pStyle w:val="Normal"/>
        <w:spacing w:before="240" w:after="240"/>
        <w:ind w:left="-180" w:hanging="0"/>
        <w:jc w:val="center"/>
        <w:rPr>
          <w:b/>
          <w:b/>
        </w:rPr>
      </w:pPr>
      <w:r>
        <w:rPr>
          <w:b/>
        </w:rPr>
        <w:t>§ 3</w:t>
      </w:r>
    </w:p>
    <w:p>
      <w:pPr>
        <w:pStyle w:val="Normal"/>
        <w:tabs>
          <w:tab w:val="clear" w:pos="708"/>
          <w:tab w:val="right" w:pos="9350" w:leader="none"/>
        </w:tabs>
        <w:ind w:left="-180" w:right="10" w:hanging="0"/>
        <w:jc w:val="both"/>
        <w:rPr/>
      </w:pPr>
      <w:r>
        <w:rPr>
          <w:bCs/>
        </w:rPr>
        <w:t xml:space="preserve">1. Ustala się łączną kwotę planowanych dochodów budżetu gminy w wysokości 41 565 886,64 zł, </w:t>
      </w:r>
      <w:r>
        <w:rPr/>
        <w:t>z tego:</w:t>
      </w:r>
    </w:p>
    <w:p>
      <w:pPr>
        <w:pStyle w:val="Normal"/>
        <w:tabs>
          <w:tab w:val="clear" w:pos="708"/>
          <w:tab w:val="right" w:pos="8602" w:leader="none"/>
        </w:tabs>
        <w:spacing w:before="120" w:after="0"/>
        <w:ind w:left="-180" w:right="10" w:firstLine="187"/>
        <w:rPr/>
      </w:pPr>
      <w:r>
        <w:rPr/>
        <w:t xml:space="preserve">1) dochody bieżące </w:t>
        <w:tab/>
        <w:t>37 301 605,64 zł</w:t>
      </w:r>
    </w:p>
    <w:p>
      <w:pPr>
        <w:pStyle w:val="Normal"/>
        <w:tabs>
          <w:tab w:val="clear" w:pos="708"/>
          <w:tab w:val="right" w:pos="8602" w:leader="none"/>
        </w:tabs>
        <w:ind w:left="-180" w:right="10" w:firstLine="187"/>
        <w:rPr/>
      </w:pPr>
      <w:r>
        <w:rPr/>
        <w:t>2) dochody majątkowe</w:t>
        <w:tab/>
        <w:t>4 264 281,00 zł.</w:t>
      </w:r>
    </w:p>
    <w:p>
      <w:pPr>
        <w:pStyle w:val="Normal"/>
        <w:tabs>
          <w:tab w:val="clear" w:pos="708"/>
          <w:tab w:val="right" w:pos="9350" w:leader="none"/>
        </w:tabs>
        <w:spacing w:before="120" w:after="0"/>
        <w:ind w:left="-180" w:right="11" w:hanging="0"/>
        <w:jc w:val="both"/>
        <w:rPr/>
      </w:pPr>
      <w:r>
        <w:rPr>
          <w:bCs/>
        </w:rPr>
        <w:t xml:space="preserve">2. Ustala się łączną kwotę planowanych wydatków budżetu gminy w wysokości 50 735 507,64 zł, </w:t>
      </w:r>
      <w:r>
        <w:rPr/>
        <w:t>z tego:</w:t>
      </w:r>
    </w:p>
    <w:p>
      <w:pPr>
        <w:pStyle w:val="Normal"/>
        <w:tabs>
          <w:tab w:val="clear" w:pos="708"/>
          <w:tab w:val="right" w:pos="8602" w:leader="none"/>
        </w:tabs>
        <w:spacing w:before="120" w:after="0"/>
        <w:ind w:left="-180" w:right="10" w:firstLine="187"/>
        <w:rPr/>
      </w:pPr>
      <w:r>
        <w:rPr/>
        <w:t xml:space="preserve">1) wydatki bieżące </w:t>
        <w:tab/>
        <w:t>36 609 845,64 zł</w:t>
      </w:r>
    </w:p>
    <w:p>
      <w:pPr>
        <w:pStyle w:val="Normal"/>
        <w:tabs>
          <w:tab w:val="clear" w:pos="708"/>
          <w:tab w:val="right" w:pos="8602" w:leader="none"/>
        </w:tabs>
        <w:ind w:left="-180" w:right="10" w:firstLine="187"/>
        <w:rPr/>
      </w:pPr>
      <w:r>
        <w:rPr/>
        <w:t>2) wydatki majątkowe</w:t>
        <w:tab/>
        <w:t>14 125 662,00 zł.</w:t>
      </w:r>
    </w:p>
    <w:p>
      <w:pPr>
        <w:pStyle w:val="Normal"/>
        <w:tabs>
          <w:tab w:val="clear" w:pos="708"/>
          <w:tab w:val="right" w:pos="9350" w:leader="none"/>
        </w:tabs>
        <w:spacing w:before="120" w:after="0"/>
        <w:ind w:left="-180" w:right="11" w:hanging="0"/>
        <w:jc w:val="both"/>
        <w:rPr/>
      </w:pPr>
      <w:r>
        <w:rPr>
          <w:bCs/>
        </w:rPr>
        <w:t>3. Ustala się deficyt budżetu gminy w wysokości 9 169 621,00 zł.</w:t>
      </w:r>
    </w:p>
    <w:p>
      <w:pPr>
        <w:pStyle w:val="Normal"/>
        <w:tabs>
          <w:tab w:val="clear" w:pos="708"/>
          <w:tab w:val="right" w:pos="9350" w:leader="none"/>
        </w:tabs>
        <w:spacing w:before="120" w:after="0"/>
        <w:ind w:left="-180" w:right="11" w:hanging="0"/>
        <w:jc w:val="both"/>
        <w:rPr/>
      </w:pPr>
      <w:r>
        <w:rPr>
          <w:bCs/>
        </w:rPr>
        <w:t>4. Deficyt budżetu w kwocie 9 169 621,00 zł sfinansowany zostanie z wolnych środków i kredytu.</w:t>
      </w:r>
    </w:p>
    <w:p>
      <w:pPr>
        <w:pStyle w:val="Normal"/>
        <w:tabs>
          <w:tab w:val="clear" w:pos="708"/>
          <w:tab w:val="right" w:pos="9350" w:leader="none"/>
        </w:tabs>
        <w:spacing w:before="120" w:after="0"/>
        <w:ind w:left="-180" w:right="11" w:hanging="0"/>
        <w:jc w:val="both"/>
        <w:rPr/>
      </w:pPr>
      <w:r>
        <w:rPr>
          <w:bCs/>
        </w:rPr>
        <w:t>5. Ustala się łączne przychody budżetu gminy w wysokości 9 798 721,00 zł i łączne rozchody budżetu gminy w wysokości 629 100 zł, zgodnie z załącznikiem nr 3 do uchwały.</w:t>
      </w:r>
    </w:p>
    <w:p>
      <w:pPr>
        <w:pStyle w:val="Normal"/>
        <w:spacing w:before="240" w:after="240"/>
        <w:ind w:left="-180" w:hanging="0"/>
        <w:jc w:val="center"/>
        <w:rPr>
          <w:b/>
          <w:b/>
        </w:rPr>
      </w:pPr>
      <w:r>
        <w:rPr>
          <w:b/>
        </w:rPr>
        <w:t>§ 4</w:t>
      </w:r>
    </w:p>
    <w:p>
      <w:pPr>
        <w:pStyle w:val="Normal"/>
        <w:ind w:left="-180" w:hanging="0"/>
        <w:jc w:val="both"/>
        <w:rPr/>
      </w:pPr>
      <w:r>
        <w:rPr/>
        <w:t xml:space="preserve">Załącznik nr 4 do uchwały nr XXII/179/2020 Rady Gminy Kamieniec Ząbkowicki z dnia 15 września 2020 r. w sprawie wprowadzenia zmian w budżecie gminy na rok 2020, określający wydatki majątkowe w podziale na poszczególne zadania inwestycyjne planowane do realizacji przez Gminę Kamieniec Ząbkowicki w roku 2020, zastępuje </w:t>
      </w:r>
      <w:r>
        <w:rPr>
          <w:bCs/>
        </w:rPr>
        <w:t>się załącznikiem nr 4 do niniejszej uchwały.</w:t>
      </w:r>
    </w:p>
    <w:p>
      <w:pPr>
        <w:pStyle w:val="Normal"/>
        <w:spacing w:before="240" w:after="240"/>
        <w:ind w:left="-180" w:hanging="0"/>
        <w:jc w:val="center"/>
        <w:rPr>
          <w:b/>
          <w:b/>
        </w:rPr>
      </w:pPr>
      <w:r>
        <w:rPr>
          <w:b/>
        </w:rPr>
        <w:t>§ 5</w:t>
      </w:r>
    </w:p>
    <w:p>
      <w:pPr>
        <w:pStyle w:val="Normal"/>
        <w:ind w:left="-180" w:hanging="0"/>
        <w:jc w:val="both"/>
        <w:rPr/>
      </w:pPr>
      <w:r>
        <w:rPr/>
        <w:t>Wykonanie uchwały powierza się Wójtowi Gminy Kamieniec Ząbkowicki.</w:t>
      </w:r>
    </w:p>
    <w:p>
      <w:pPr>
        <w:pStyle w:val="Normal"/>
        <w:spacing w:before="240" w:after="240"/>
        <w:ind w:left="-180" w:hanging="0"/>
        <w:jc w:val="center"/>
        <w:rPr>
          <w:b/>
          <w:b/>
        </w:rPr>
      </w:pPr>
      <w:r>
        <w:rPr>
          <w:b/>
        </w:rPr>
        <w:t>§ 6</w:t>
      </w:r>
    </w:p>
    <w:p>
      <w:pPr>
        <w:pStyle w:val="Normal"/>
        <w:ind w:left="-180" w:hanging="0"/>
        <w:jc w:val="both"/>
        <w:rPr/>
      </w:pPr>
      <w:r>
        <w:rPr/>
        <w:t>Uchwała wchodzi w życie z dniem podjęcia.</w:t>
      </w:r>
      <w:r>
        <w:br w:type="page"/>
      </w:r>
    </w:p>
    <w:p>
      <w:pPr>
        <w:pStyle w:val="Normal"/>
        <w:ind w:left="-180" w:hanging="0"/>
        <w:jc w:val="center"/>
        <w:rPr/>
      </w:pPr>
      <w:r>
        <w:rPr>
          <w:b/>
        </w:rPr>
        <w:t>Uzasadnienie</w:t>
      </w:r>
    </w:p>
    <w:p>
      <w:pPr>
        <w:pStyle w:val="Normal"/>
        <w:tabs>
          <w:tab w:val="clear" w:pos="708"/>
          <w:tab w:val="decimal" w:pos="8280" w:leader="none"/>
        </w:tabs>
        <w:ind w:left="-180" w:hanging="0"/>
        <w:rPr>
          <w:b/>
          <w:b/>
        </w:rPr>
      </w:pPr>
      <w:r>
        <w:rPr>
          <w:b/>
        </w:rPr>
      </w:r>
    </w:p>
    <w:p>
      <w:pPr>
        <w:pStyle w:val="Normal"/>
        <w:tabs>
          <w:tab w:val="clear" w:pos="708"/>
          <w:tab w:val="left" w:pos="360" w:leader="none"/>
          <w:tab w:val="decimal" w:pos="8280" w:leader="none"/>
        </w:tabs>
        <w:ind w:left="360" w:hanging="360"/>
        <w:jc w:val="both"/>
        <w:rPr/>
      </w:pPr>
      <w:r>
        <w:rPr/>
        <w:t>Zmiany wprowadzone niniejszą uchwałą dotyczą w głównej mierze:</w:t>
      </w:r>
    </w:p>
    <w:p>
      <w:pPr>
        <w:pStyle w:val="Normal"/>
        <w:numPr>
          <w:ilvl w:val="0"/>
          <w:numId w:val="2"/>
        </w:numPr>
        <w:tabs>
          <w:tab w:val="clear" w:pos="708"/>
          <w:tab w:val="left" w:pos="360" w:leader="none"/>
          <w:tab w:val="decimal" w:pos="8280" w:leader="none"/>
        </w:tabs>
        <w:ind w:left="360" w:hanging="360"/>
        <w:jc w:val="both"/>
        <w:rPr/>
      </w:pPr>
      <w:r>
        <w:rPr/>
        <w:t>zwiększenia w dz. 600 środków dotacji celowej na Pomoc finansowa dla Powiatu Ząbkowickiego z przeznaczeniem na współfinansowanie dokumentacji projektowej na przebudowę drogi powiatowej nr 3178 D w miejscowości Kamieniec Ząbkowicki ul. Wiejska i Szkolna, wraz z budową chodnika, kanalizacji deszczowej oraz niezbędnej infrastruktury drogowej;</w:t>
      </w:r>
    </w:p>
    <w:p>
      <w:pPr>
        <w:pStyle w:val="Normal"/>
        <w:numPr>
          <w:ilvl w:val="0"/>
          <w:numId w:val="2"/>
        </w:numPr>
        <w:tabs>
          <w:tab w:val="clear" w:pos="708"/>
          <w:tab w:val="left" w:pos="360" w:leader="none"/>
          <w:tab w:val="decimal" w:pos="8280" w:leader="none"/>
        </w:tabs>
        <w:ind w:left="360" w:hanging="360"/>
        <w:jc w:val="both"/>
        <w:rPr/>
      </w:pPr>
      <w:r>
        <w:rPr/>
        <w:t>aktualizacji planu wydatków majątkowych na zadaniu „Zabezpieczenie skarpy przed osuwiskiem gruntu w miejscowości Byczeń” w związku z wprowadzonymi zarządzeniem nr 321/2020 Wójta Gminy Kamieniec Ząbkowicki z dnia 30 września 2020 roku zmianami do budżetu Gminy;</w:t>
      </w:r>
    </w:p>
    <w:p>
      <w:pPr>
        <w:pStyle w:val="Normal"/>
        <w:numPr>
          <w:ilvl w:val="0"/>
          <w:numId w:val="2"/>
        </w:numPr>
        <w:tabs>
          <w:tab w:val="clear" w:pos="708"/>
          <w:tab w:val="left" w:pos="360" w:leader="none"/>
          <w:tab w:val="decimal" w:pos="8280" w:leader="none"/>
        </w:tabs>
        <w:ind w:left="360" w:hanging="360"/>
        <w:jc w:val="both"/>
        <w:rPr/>
      </w:pPr>
      <w:r>
        <w:rPr/>
        <w:t>zwiększenia w dz. 801 planu dotacji z budżetu państwa na wyposażenie szkół w podręczniki, materiały edukacyjne lub materiały ćwiczeniowe oraz zmiany planu wydatków jednostek oświatowych podległych Gminie;</w:t>
      </w:r>
    </w:p>
    <w:p>
      <w:pPr>
        <w:pStyle w:val="Normal"/>
        <w:numPr>
          <w:ilvl w:val="0"/>
          <w:numId w:val="2"/>
        </w:numPr>
        <w:tabs>
          <w:tab w:val="clear" w:pos="708"/>
          <w:tab w:val="left" w:pos="360" w:leader="none"/>
          <w:tab w:val="decimal" w:pos="8280" w:leader="none"/>
        </w:tabs>
        <w:ind w:left="360" w:hanging="360"/>
        <w:jc w:val="both"/>
        <w:rPr/>
      </w:pPr>
      <w:r>
        <w:rPr/>
        <w:t>zwiększenia w dz. 852 planu dotacji z budżetu państwa przeznaczonej na sfinansowanie wypłat w IV kwartale bieżącego roku zryczałtowanych dodatków energetycznych dla odbiorców wrażliwych energii elektrycznej oraz kosztów obsługi zadania</w:t>
      </w:r>
    </w:p>
    <w:p>
      <w:pPr>
        <w:pStyle w:val="Normal"/>
        <w:numPr>
          <w:ilvl w:val="0"/>
          <w:numId w:val="2"/>
        </w:numPr>
        <w:tabs>
          <w:tab w:val="clear" w:pos="708"/>
          <w:tab w:val="left" w:pos="360" w:leader="none"/>
          <w:tab w:val="decimal" w:pos="8280" w:leader="none"/>
        </w:tabs>
        <w:ind w:left="360" w:hanging="360"/>
        <w:jc w:val="both"/>
        <w:rPr/>
      </w:pPr>
      <w:r>
        <w:rPr/>
        <w:t>zwiększenia w dz. 921 planu wydatków na zadaniu inwestycyjnym „Kamieniec Ząbkowicki, pałac (XIX w.): ratownicze prace konstrukcyjne części wschodniej dachu pałacu” ;</w:t>
      </w:r>
    </w:p>
    <w:p>
      <w:pPr>
        <w:pStyle w:val="Normal"/>
        <w:numPr>
          <w:ilvl w:val="0"/>
          <w:numId w:val="2"/>
        </w:numPr>
        <w:tabs>
          <w:tab w:val="clear" w:pos="708"/>
          <w:tab w:val="left" w:pos="360" w:leader="none"/>
          <w:tab w:val="decimal" w:pos="8280" w:leader="none"/>
        </w:tabs>
        <w:ind w:left="360" w:hanging="360"/>
        <w:jc w:val="both"/>
        <w:rPr/>
      </w:pPr>
      <w:r>
        <w:rPr/>
        <w:t>zwiększenia w dz. 921 planu wydatków na zadaniu „Rekonstrukcja (wyłącznie w zakresie geometrii) żeber sklepień kaplicy zabytkowego pałacu w Kamieńcu Ząbkowickim” w związku ze zmianami wprowadzonymi zarządzeniem Wójta Gminy Kamieniec Ząbkowicki z dnia 30 października 2020 roku.</w:t>
      </w:r>
    </w:p>
    <w:p>
      <w:pPr>
        <w:pStyle w:val="Normal"/>
        <w:tabs>
          <w:tab w:val="clear" w:pos="708"/>
          <w:tab w:val="decimal" w:pos="8280" w:leader="none"/>
        </w:tabs>
        <w:ind w:left="-180" w:hanging="0"/>
        <w:jc w:val="both"/>
        <w:rPr/>
      </w:pPr>
      <w:r>
        <w:rPr/>
      </w:r>
    </w:p>
    <w:p>
      <w:pPr>
        <w:pStyle w:val="Normal"/>
        <w:tabs>
          <w:tab w:val="clear" w:pos="708"/>
          <w:tab w:val="decimal" w:pos="8280" w:leader="none"/>
        </w:tabs>
        <w:ind w:left="-180" w:hanging="0"/>
        <w:jc w:val="both"/>
        <w:rPr/>
      </w:pPr>
      <w:r>
        <w:rPr/>
        <w:t>Pozostałe zmiany dotyczą urealnienia planu wydatków budżetu Gminy.</w:t>
      </w:r>
    </w:p>
    <w:p>
      <w:pPr>
        <w:pStyle w:val="Normal"/>
        <w:tabs>
          <w:tab w:val="clear" w:pos="708"/>
          <w:tab w:val="left" w:pos="360" w:leader="none"/>
          <w:tab w:val="decimal" w:pos="8280" w:leader="none"/>
        </w:tabs>
        <w:ind w:left="-180" w:hanging="0"/>
        <w:jc w:val="both"/>
        <w:rPr/>
      </w:pPr>
      <w:r>
        <w:rPr/>
      </w:r>
    </w:p>
    <w:p>
      <w:pPr>
        <w:pStyle w:val="Normal"/>
        <w:tabs>
          <w:tab w:val="clear" w:pos="708"/>
          <w:tab w:val="decimal" w:pos="8280" w:leader="none"/>
        </w:tabs>
        <w:ind w:left="-180" w:hanging="0"/>
        <w:jc w:val="both"/>
        <w:rPr/>
      </w:pPr>
      <w:r>
        <w:rPr/>
        <w:t>W związku z powyższym na przypadające do spłaty w roku 2020 kwoty rat kredytów długoterminowych w łącznej wysokości 629 100 zł przeznacza się wolne środki. Różnica pomiędzy dochodami a wydatkami (deficyt budżetu) w kwocie 9 169 621 zł sfinansowana zostanie z wolnych środków i kredytu.</w:t>
      </w:r>
    </w:p>
    <w:p>
      <w:pPr>
        <w:pStyle w:val="Normal"/>
        <w:tabs>
          <w:tab w:val="clear" w:pos="708"/>
          <w:tab w:val="decimal" w:pos="8280" w:leader="none"/>
        </w:tabs>
        <w:ind w:left="-180" w:hanging="0"/>
        <w:jc w:val="both"/>
        <w:rPr/>
      </w:pPr>
      <w:r>
        <w:rPr/>
      </w:r>
    </w:p>
    <w:p>
      <w:pPr>
        <w:pStyle w:val="Normal"/>
        <w:tabs>
          <w:tab w:val="clear" w:pos="708"/>
          <w:tab w:val="decimal" w:pos="8280" w:leader="none"/>
        </w:tabs>
        <w:ind w:left="-180" w:hanging="0"/>
        <w:jc w:val="both"/>
        <w:rPr/>
      </w:pPr>
      <w:r>
        <w:rPr/>
        <w:t>Po dokonanych zmianach budżet Gminy przedstawia się j.n.</w:t>
      </w:r>
    </w:p>
    <w:p>
      <w:pPr>
        <w:pStyle w:val="Normal"/>
        <w:tabs>
          <w:tab w:val="clear" w:pos="708"/>
          <w:tab w:val="decimal" w:pos="8280" w:leader="none"/>
        </w:tabs>
        <w:ind w:left="-180" w:hanging="0"/>
        <w:jc w:val="both"/>
        <w:rPr/>
      </w:pPr>
      <w:r>
        <w:rPr/>
      </w:r>
    </w:p>
    <w:p>
      <w:pPr>
        <w:pStyle w:val="Normal"/>
        <w:ind w:left="-180" w:right="-180" w:hanging="0"/>
        <w:rPr>
          <w:b/>
          <w:b/>
          <w:sz w:val="12"/>
          <w:szCs w:val="12"/>
        </w:rPr>
      </w:pPr>
      <w:r>
        <w:rPr>
          <w:b/>
          <w:sz w:val="12"/>
          <w:szCs w:val="12"/>
        </w:rPr>
      </w:r>
    </w:p>
    <w:tbl>
      <w:tblPr>
        <w:tblW w:w="8508" w:type="dxa"/>
        <w:jc w:val="center"/>
        <w:tblInd w:w="0" w:type="dxa"/>
        <w:tblCellMar>
          <w:top w:w="0" w:type="dxa"/>
          <w:left w:w="108" w:type="dxa"/>
          <w:bottom w:w="0" w:type="dxa"/>
          <w:right w:w="108" w:type="dxa"/>
        </w:tblCellMar>
      </w:tblPr>
      <w:tblGrid>
        <w:gridCol w:w="2071"/>
        <w:gridCol w:w="2396"/>
        <w:gridCol w:w="1980"/>
        <w:gridCol w:w="2061"/>
      </w:tblGrid>
      <w:tr>
        <w:trPr>
          <w:trHeight w:val="497" w:hRule="atLeast"/>
        </w:trPr>
        <w:tc>
          <w:tcPr>
            <w:tcW w:w="2071" w:type="dxa"/>
            <w:tcBorders>
              <w:top w:val="single" w:sz="4" w:space="0" w:color="000000"/>
              <w:left w:val="single" w:sz="4" w:space="0" w:color="000000"/>
              <w:bottom w:val="single" w:sz="4" w:space="0" w:color="000000"/>
            </w:tcBorders>
            <w:shd w:fill="auto" w:val="clear"/>
            <w:vAlign w:val="center"/>
          </w:tcPr>
          <w:p>
            <w:pPr>
              <w:pStyle w:val="Normal"/>
              <w:ind w:left="-180" w:right="-180" w:hanging="0"/>
              <w:jc w:val="center"/>
              <w:rPr/>
            </w:pPr>
            <w:r>
              <w:rPr/>
              <w:t>Wyszczególnienie</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180" w:hanging="0"/>
              <w:jc w:val="center"/>
              <w:rPr/>
            </w:pPr>
            <w:r>
              <w:rPr/>
              <w:t>Zapis przed zmianami</w:t>
            </w:r>
          </w:p>
        </w:tc>
        <w:tc>
          <w:tcPr>
            <w:tcW w:w="1980" w:type="dxa"/>
            <w:tcBorders>
              <w:top w:val="single" w:sz="4" w:space="0" w:color="000000"/>
              <w:left w:val="single" w:sz="4" w:space="0" w:color="000000"/>
              <w:bottom w:val="single" w:sz="4" w:space="0" w:color="000000"/>
            </w:tcBorders>
            <w:shd w:fill="auto" w:val="clear"/>
            <w:vAlign w:val="center"/>
          </w:tcPr>
          <w:p>
            <w:pPr>
              <w:pStyle w:val="Normal"/>
              <w:ind w:left="-180" w:right="-180" w:hanging="0"/>
              <w:jc w:val="center"/>
              <w:rPr/>
            </w:pPr>
            <w:r>
              <w:rPr/>
              <w:t>Zmiana</w:t>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180" w:hanging="0"/>
              <w:jc w:val="center"/>
              <w:rPr/>
            </w:pPr>
            <w:r>
              <w:rPr/>
              <w:t>Zapis po zmianie</w:t>
            </w:r>
          </w:p>
        </w:tc>
      </w:tr>
      <w:tr>
        <w:trPr/>
        <w:tc>
          <w:tcPr>
            <w:tcW w:w="2071" w:type="dxa"/>
            <w:tcBorders>
              <w:top w:val="single" w:sz="4" w:space="0" w:color="000000"/>
              <w:left w:val="single" w:sz="4" w:space="0" w:color="000000"/>
              <w:bottom w:val="single" w:sz="4" w:space="0" w:color="000000"/>
            </w:tcBorders>
            <w:shd w:fill="auto" w:val="clear"/>
          </w:tcPr>
          <w:p>
            <w:pPr>
              <w:pStyle w:val="Normal"/>
              <w:ind w:left="-180" w:right="-180" w:hanging="0"/>
              <w:jc w:val="center"/>
              <w:rPr>
                <w:b/>
                <w:b/>
                <w:sz w:val="18"/>
                <w:szCs w:val="18"/>
              </w:rPr>
            </w:pPr>
            <w:r>
              <w:rPr>
                <w:b/>
                <w:sz w:val="18"/>
                <w:szCs w:val="18"/>
              </w:rPr>
              <w:t>1</w:t>
            </w:r>
          </w:p>
        </w:tc>
        <w:tc>
          <w:tcPr>
            <w:tcW w:w="2396" w:type="dxa"/>
            <w:tcBorders>
              <w:top w:val="single" w:sz="4" w:space="0" w:color="000000"/>
              <w:left w:val="single" w:sz="4" w:space="0" w:color="000000"/>
              <w:bottom w:val="single" w:sz="4" w:space="0" w:color="000000"/>
            </w:tcBorders>
            <w:shd w:fill="auto" w:val="clear"/>
          </w:tcPr>
          <w:p>
            <w:pPr>
              <w:pStyle w:val="Normal"/>
              <w:ind w:left="-180" w:right="-180" w:hanging="0"/>
              <w:jc w:val="center"/>
              <w:rPr>
                <w:b/>
                <w:b/>
                <w:sz w:val="18"/>
                <w:szCs w:val="18"/>
              </w:rPr>
            </w:pPr>
            <w:r>
              <w:rPr>
                <w:b/>
                <w:sz w:val="18"/>
                <w:szCs w:val="18"/>
              </w:rPr>
              <w:t>2</w:t>
            </w:r>
          </w:p>
        </w:tc>
        <w:tc>
          <w:tcPr>
            <w:tcW w:w="1980" w:type="dxa"/>
            <w:tcBorders>
              <w:top w:val="single" w:sz="4" w:space="0" w:color="000000"/>
              <w:left w:val="single" w:sz="4" w:space="0" w:color="000000"/>
              <w:bottom w:val="single" w:sz="4" w:space="0" w:color="000000"/>
            </w:tcBorders>
            <w:shd w:fill="auto" w:val="clear"/>
          </w:tcPr>
          <w:p>
            <w:pPr>
              <w:pStyle w:val="Normal"/>
              <w:ind w:left="-180" w:right="-180" w:hanging="0"/>
              <w:jc w:val="center"/>
              <w:rPr>
                <w:b/>
                <w:b/>
                <w:sz w:val="18"/>
                <w:szCs w:val="18"/>
              </w:rPr>
            </w:pPr>
            <w:r>
              <w:rPr>
                <w:b/>
                <w:sz w:val="18"/>
                <w:szCs w:val="18"/>
              </w:rPr>
              <w:t>3</w:t>
            </w:r>
          </w:p>
        </w:tc>
        <w:tc>
          <w:tcPr>
            <w:tcW w:w="2061" w:type="dxa"/>
            <w:tcBorders>
              <w:top w:val="single" w:sz="4" w:space="0" w:color="000000"/>
              <w:left w:val="single" w:sz="4" w:space="0" w:color="000000"/>
              <w:bottom w:val="single" w:sz="4" w:space="0" w:color="000000"/>
              <w:right w:val="single" w:sz="4" w:space="0" w:color="000000"/>
            </w:tcBorders>
            <w:shd w:fill="auto" w:val="clear"/>
          </w:tcPr>
          <w:p>
            <w:pPr>
              <w:pStyle w:val="Normal"/>
              <w:ind w:left="-180" w:right="-180" w:hanging="0"/>
              <w:jc w:val="center"/>
              <w:rPr>
                <w:b/>
                <w:b/>
                <w:sz w:val="18"/>
                <w:szCs w:val="18"/>
              </w:rPr>
            </w:pPr>
            <w:r>
              <w:rPr>
                <w:b/>
                <w:sz w:val="18"/>
                <w:szCs w:val="18"/>
              </w:rPr>
              <w:t>4</w:t>
            </w:r>
          </w:p>
        </w:tc>
      </w:tr>
      <w:tr>
        <w:trPr/>
        <w:tc>
          <w:tcPr>
            <w:tcW w:w="2071" w:type="dxa"/>
            <w:tcBorders>
              <w:top w:val="single" w:sz="4" w:space="0" w:color="000000"/>
              <w:left w:val="single" w:sz="4" w:space="0" w:color="000000"/>
              <w:bottom w:val="single" w:sz="4" w:space="0" w:color="000000"/>
            </w:tcBorders>
            <w:shd w:fill="auto" w:val="clear"/>
            <w:vAlign w:val="center"/>
          </w:tcPr>
          <w:p>
            <w:pPr>
              <w:pStyle w:val="Normal"/>
              <w:ind w:left="-23" w:right="-180" w:hanging="0"/>
              <w:rPr>
                <w:b/>
                <w:b/>
              </w:rPr>
            </w:pPr>
            <w:r>
              <w:rPr>
                <w:b/>
              </w:rPr>
              <w:t>Dochody</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pPr>
            <w:r>
              <w:rPr>
                <w:b/>
              </w:rPr>
              <w:t>41 565 228,69</w:t>
            </w:r>
          </w:p>
        </w:tc>
        <w:tc>
          <w:tcPr>
            <w:tcW w:w="1980"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b/>
                <w:b/>
              </w:rPr>
            </w:pPr>
            <w:r>
              <w:rPr>
                <w:b/>
              </w:rPr>
              <w:t>+ 657,95</w:t>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73" w:hanging="0"/>
              <w:jc w:val="right"/>
              <w:rPr/>
            </w:pPr>
            <w:r>
              <w:rPr>
                <w:b/>
              </w:rPr>
              <w:t>41 565 886,64</w:t>
            </w:r>
          </w:p>
        </w:tc>
      </w:tr>
      <w:tr>
        <w:trPr/>
        <w:tc>
          <w:tcPr>
            <w:tcW w:w="2071" w:type="dxa"/>
            <w:tcBorders>
              <w:top w:val="single" w:sz="4" w:space="0" w:color="000000"/>
              <w:left w:val="single" w:sz="4" w:space="0" w:color="000000"/>
              <w:bottom w:val="single" w:sz="4" w:space="0" w:color="000000"/>
            </w:tcBorders>
            <w:shd w:fill="auto" w:val="clear"/>
            <w:vAlign w:val="center"/>
          </w:tcPr>
          <w:p>
            <w:pPr>
              <w:pStyle w:val="Normal"/>
              <w:ind w:left="-23" w:right="-180" w:hanging="0"/>
              <w:rPr>
                <w:b/>
                <w:b/>
              </w:rPr>
            </w:pPr>
            <w:r>
              <w:rPr>
                <w:b/>
              </w:rPr>
              <w:t>Wydatki</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pPr>
            <w:r>
              <w:rPr>
                <w:b/>
              </w:rPr>
              <w:t>50 734 849,69</w:t>
            </w:r>
          </w:p>
        </w:tc>
        <w:tc>
          <w:tcPr>
            <w:tcW w:w="1980" w:type="dxa"/>
            <w:tcBorders>
              <w:top w:val="single" w:sz="4" w:space="0" w:color="000000"/>
              <w:left w:val="single" w:sz="4" w:space="0" w:color="000000"/>
              <w:bottom w:val="single" w:sz="4" w:space="0" w:color="000000"/>
            </w:tcBorders>
            <w:shd w:fill="auto" w:val="clear"/>
          </w:tcPr>
          <w:p>
            <w:pPr>
              <w:pStyle w:val="Normal"/>
              <w:ind w:left="-180" w:right="-73" w:hanging="0"/>
              <w:jc w:val="right"/>
              <w:rPr>
                <w:b/>
                <w:b/>
              </w:rPr>
            </w:pPr>
            <w:r>
              <w:rPr>
                <w:b/>
              </w:rPr>
              <w:t>+ 657,95</w:t>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73" w:hanging="0"/>
              <w:jc w:val="right"/>
              <w:rPr>
                <w:b/>
                <w:b/>
              </w:rPr>
            </w:pPr>
            <w:r>
              <w:rPr>
                <w:b/>
              </w:rPr>
              <w:t>50 735 507,64</w:t>
            </w:r>
          </w:p>
        </w:tc>
      </w:tr>
      <w:tr>
        <w:trPr/>
        <w:tc>
          <w:tcPr>
            <w:tcW w:w="2071" w:type="dxa"/>
            <w:tcBorders>
              <w:top w:val="single" w:sz="4" w:space="0" w:color="000000"/>
              <w:left w:val="single" w:sz="4" w:space="0" w:color="000000"/>
              <w:bottom w:val="single" w:sz="4" w:space="0" w:color="000000"/>
            </w:tcBorders>
            <w:shd w:fill="auto" w:val="clear"/>
            <w:vAlign w:val="center"/>
          </w:tcPr>
          <w:p>
            <w:pPr>
              <w:pStyle w:val="Normal"/>
              <w:ind w:left="-23" w:right="-180" w:hanging="0"/>
              <w:rPr>
                <w:b/>
                <w:b/>
              </w:rPr>
            </w:pPr>
            <w:r>
              <w:rPr>
                <w:b/>
              </w:rPr>
              <w:t>wynik budżetu /+-/</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pPr>
            <w:r>
              <w:rPr>
                <w:b/>
              </w:rPr>
              <w:t>- 9 169 621</w:t>
            </w:r>
          </w:p>
        </w:tc>
        <w:tc>
          <w:tcPr>
            <w:tcW w:w="1980" w:type="dxa"/>
            <w:tcBorders>
              <w:top w:val="single" w:sz="4" w:space="0" w:color="000000"/>
              <w:left w:val="single" w:sz="4" w:space="0" w:color="000000"/>
              <w:bottom w:val="single" w:sz="4" w:space="0" w:color="000000"/>
            </w:tcBorders>
            <w:shd w:fill="auto" w:val="clear"/>
          </w:tcPr>
          <w:p>
            <w:pPr>
              <w:pStyle w:val="Normal"/>
              <w:snapToGrid w:val="false"/>
              <w:ind w:left="-180" w:right="-73" w:hanging="0"/>
              <w:jc w:val="right"/>
              <w:rPr>
                <w:b/>
                <w:b/>
              </w:rPr>
            </w:pPr>
            <w:r>
              <w:rPr>
                <w:b/>
              </w:rPr>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73" w:hanging="0"/>
              <w:jc w:val="right"/>
              <w:rPr/>
            </w:pPr>
            <w:r>
              <w:rPr>
                <w:b/>
              </w:rPr>
              <w:t>- 9 169 621,00</w:t>
            </w:r>
          </w:p>
        </w:tc>
      </w:tr>
      <w:tr>
        <w:trPr>
          <w:trHeight w:val="50" w:hRule="atLeast"/>
        </w:trPr>
        <w:tc>
          <w:tcPr>
            <w:tcW w:w="2071" w:type="dxa"/>
            <w:tcBorders>
              <w:top w:val="single" w:sz="4" w:space="0" w:color="000000"/>
              <w:left w:val="single" w:sz="4" w:space="0" w:color="000000"/>
              <w:bottom w:val="single" w:sz="4" w:space="0" w:color="000000"/>
            </w:tcBorders>
            <w:shd w:fill="auto" w:val="clear"/>
            <w:vAlign w:val="center"/>
          </w:tcPr>
          <w:p>
            <w:pPr>
              <w:pStyle w:val="Normal"/>
              <w:ind w:left="-23" w:right="-180" w:hanging="0"/>
              <w:rPr>
                <w:b/>
                <w:b/>
              </w:rPr>
            </w:pPr>
            <w:r>
              <w:rPr>
                <w:b/>
              </w:rPr>
              <w:t>Przychody</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b/>
                <w:b/>
              </w:rPr>
            </w:pPr>
            <w:r>
              <w:rPr>
                <w:b/>
              </w:rPr>
              <w:t>9 798 721,00</w:t>
            </w:r>
          </w:p>
        </w:tc>
        <w:tc>
          <w:tcPr>
            <w:tcW w:w="1980" w:type="dxa"/>
            <w:tcBorders>
              <w:top w:val="single" w:sz="4" w:space="0" w:color="000000"/>
              <w:left w:val="single" w:sz="4" w:space="0" w:color="000000"/>
              <w:bottom w:val="single" w:sz="4" w:space="0" w:color="000000"/>
            </w:tcBorders>
            <w:shd w:fill="auto" w:val="clear"/>
          </w:tcPr>
          <w:p>
            <w:pPr>
              <w:pStyle w:val="Normal"/>
              <w:ind w:left="-180" w:right="-73" w:hanging="0"/>
              <w:jc w:val="center"/>
              <w:rPr>
                <w:b/>
                <w:b/>
              </w:rPr>
            </w:pPr>
            <w:r>
              <w:rPr>
                <w:b/>
              </w:rPr>
              <w:t>-</w:t>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73" w:hanging="0"/>
              <w:jc w:val="right"/>
              <w:rPr>
                <w:b/>
                <w:b/>
              </w:rPr>
            </w:pPr>
            <w:r>
              <w:rPr>
                <w:b/>
              </w:rPr>
              <w:t>9 798 721,00</w:t>
            </w:r>
          </w:p>
        </w:tc>
      </w:tr>
      <w:tr>
        <w:trPr/>
        <w:tc>
          <w:tcPr>
            <w:tcW w:w="2071" w:type="dxa"/>
            <w:tcBorders>
              <w:top w:val="single" w:sz="4" w:space="0" w:color="000000"/>
              <w:left w:val="single" w:sz="4" w:space="0" w:color="000000"/>
              <w:bottom w:val="single" w:sz="4" w:space="0" w:color="000000"/>
            </w:tcBorders>
            <w:shd w:fill="auto" w:val="clear"/>
            <w:vAlign w:val="center"/>
          </w:tcPr>
          <w:p>
            <w:pPr>
              <w:pStyle w:val="Normal"/>
              <w:ind w:left="-23" w:right="-180" w:hanging="0"/>
              <w:rPr>
                <w:b/>
                <w:b/>
              </w:rPr>
            </w:pPr>
            <w:r>
              <w:rPr>
                <w:b/>
              </w:rPr>
              <w:t>Rozchody</w:t>
            </w:r>
          </w:p>
        </w:tc>
        <w:tc>
          <w:tcPr>
            <w:tcW w:w="2396" w:type="dxa"/>
            <w:tcBorders>
              <w:top w:val="single" w:sz="4" w:space="0" w:color="000000"/>
              <w:left w:val="single" w:sz="4" w:space="0" w:color="000000"/>
              <w:bottom w:val="single" w:sz="4" w:space="0" w:color="000000"/>
            </w:tcBorders>
            <w:shd w:fill="auto" w:val="clear"/>
            <w:vAlign w:val="center"/>
          </w:tcPr>
          <w:p>
            <w:pPr>
              <w:pStyle w:val="Normal"/>
              <w:ind w:left="-180" w:right="-73" w:hanging="0"/>
              <w:jc w:val="right"/>
              <w:rPr>
                <w:b/>
                <w:b/>
              </w:rPr>
            </w:pPr>
            <w:r>
              <w:rPr>
                <w:b/>
              </w:rPr>
              <w:t>629 100,00</w:t>
            </w:r>
          </w:p>
        </w:tc>
        <w:tc>
          <w:tcPr>
            <w:tcW w:w="1980" w:type="dxa"/>
            <w:tcBorders>
              <w:top w:val="single" w:sz="4" w:space="0" w:color="000000"/>
              <w:left w:val="single" w:sz="4" w:space="0" w:color="000000"/>
              <w:bottom w:val="single" w:sz="4" w:space="0" w:color="000000"/>
            </w:tcBorders>
            <w:shd w:fill="auto" w:val="clear"/>
          </w:tcPr>
          <w:p>
            <w:pPr>
              <w:pStyle w:val="Normal"/>
              <w:ind w:left="-180" w:right="-73" w:hanging="0"/>
              <w:jc w:val="center"/>
              <w:rPr>
                <w:b/>
                <w:b/>
              </w:rPr>
            </w:pPr>
            <w:r>
              <w:rPr>
                <w:b/>
              </w:rPr>
              <w:t>-</w:t>
            </w:r>
          </w:p>
        </w:tc>
        <w:tc>
          <w:tcPr>
            <w:tcW w:w="20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180" w:right="-73" w:hanging="0"/>
              <w:jc w:val="right"/>
              <w:rPr>
                <w:b/>
                <w:b/>
              </w:rPr>
            </w:pPr>
            <w:r>
              <w:rPr>
                <w:b/>
              </w:rPr>
              <w:t>629 100,00</w:t>
            </w:r>
          </w:p>
        </w:tc>
      </w:tr>
    </w:tbl>
    <w:p>
      <w:pPr>
        <w:pStyle w:val="Normal"/>
        <w:tabs>
          <w:tab w:val="clear" w:pos="708"/>
          <w:tab w:val="left" w:pos="360" w:leader="none"/>
          <w:tab w:val="decimal" w:pos="8280" w:leader="none"/>
        </w:tabs>
        <w:jc w:val="both"/>
        <w:rPr>
          <w:color w:val="FF0000"/>
        </w:rPr>
      </w:pPr>
      <w:r>
        <w:rPr>
          <w:color w:val="FF000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5400" w:leader="none"/>
        </w:tabs>
        <w:ind w:firstLine="5400"/>
        <w:rPr/>
      </w:pPr>
      <w:r>
        <w:rPr>
          <w:sz w:val="18"/>
          <w:szCs w:val="18"/>
        </w:rPr>
        <w:t>Załącznik nr 3 do uchwały nr ……………….</w:t>
      </w:r>
    </w:p>
    <w:p>
      <w:pPr>
        <w:pStyle w:val="Normal"/>
        <w:tabs>
          <w:tab w:val="clear" w:pos="708"/>
          <w:tab w:val="left" w:pos="5400" w:leader="none"/>
        </w:tabs>
        <w:ind w:firstLine="5400"/>
        <w:rPr>
          <w:sz w:val="18"/>
          <w:szCs w:val="18"/>
        </w:rPr>
      </w:pPr>
      <w:r>
        <w:rPr>
          <w:sz w:val="18"/>
          <w:szCs w:val="18"/>
        </w:rPr>
        <w:t>Rady Gminy Kamieniec Ząbkowicki</w:t>
      </w:r>
    </w:p>
    <w:p>
      <w:pPr>
        <w:pStyle w:val="Normal"/>
        <w:tabs>
          <w:tab w:val="clear" w:pos="708"/>
          <w:tab w:val="left" w:pos="5400" w:leader="none"/>
        </w:tabs>
        <w:ind w:firstLine="5400"/>
        <w:rPr/>
      </w:pPr>
      <w:r>
        <w:rPr>
          <w:sz w:val="18"/>
          <w:szCs w:val="18"/>
        </w:rPr>
        <w:t>z dnia ……………………...</w:t>
      </w:r>
    </w:p>
    <w:p>
      <w:pPr>
        <w:pStyle w:val="Normal"/>
        <w:tabs>
          <w:tab w:val="clear" w:pos="708"/>
          <w:tab w:val="decimal" w:pos="8280" w:leader="none"/>
        </w:tabs>
        <w:jc w:val="both"/>
        <w:rPr>
          <w:color w:val="FF0000"/>
          <w:sz w:val="16"/>
          <w:szCs w:val="16"/>
        </w:rPr>
      </w:pPr>
      <w:r>
        <w:rPr>
          <w:color w:val="FF0000"/>
          <w:sz w:val="16"/>
          <w:szCs w:val="16"/>
        </w:rPr>
      </w:r>
    </w:p>
    <w:p>
      <w:pPr>
        <w:pStyle w:val="Normal"/>
        <w:ind w:right="-180" w:hanging="0"/>
        <w:rPr>
          <w:b/>
          <w:b/>
          <w:color w:val="FF0000"/>
          <w:sz w:val="16"/>
          <w:szCs w:val="16"/>
        </w:rPr>
      </w:pPr>
      <w:r>
        <w:rPr>
          <w:b/>
          <w:color w:val="FF0000"/>
          <w:sz w:val="16"/>
          <w:szCs w:val="16"/>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tab/>
        <w:tab/>
        <w:tab/>
        <w:tab/>
        <w:t xml:space="preserve">                 </w:t>
      </w:r>
    </w:p>
    <w:p>
      <w:pPr>
        <w:pStyle w:val="Normal"/>
        <w:ind w:right="-180" w:hanging="0"/>
        <w:jc w:val="center"/>
        <w:rPr/>
      </w:pPr>
      <w:r>
        <w:rPr>
          <w:b/>
        </w:rPr>
        <w:t>Przychody i rozchody budżetu gminy na 2020 rok</w:t>
      </w:r>
    </w:p>
    <w:p>
      <w:pPr>
        <w:pStyle w:val="Normal"/>
        <w:ind w:right="-180" w:hanging="0"/>
        <w:rPr>
          <w:b/>
          <w:b/>
          <w:color w:val="FF0000"/>
        </w:rPr>
      </w:pPr>
      <w:r>
        <w:rPr>
          <w:b/>
          <w:color w:val="FF0000"/>
        </w:rPr>
      </w:r>
    </w:p>
    <w:p>
      <w:pPr>
        <w:pStyle w:val="Normal"/>
        <w:ind w:right="-180" w:hanging="0"/>
        <w:rPr>
          <w:color w:val="FF0000"/>
        </w:rPr>
      </w:pPr>
      <w:r>
        <w:rPr>
          <w:color w:val="FF0000"/>
        </w:rPr>
        <w:tab/>
        <w:tab/>
        <w:tab/>
      </w:r>
    </w:p>
    <w:p>
      <w:pPr>
        <w:pStyle w:val="Normal"/>
        <w:ind w:right="-180" w:hanging="0"/>
        <w:rPr>
          <w:b/>
          <w:b/>
          <w:color w:val="FF0000"/>
        </w:rPr>
      </w:pPr>
      <w:r>
        <w:rPr>
          <w:b/>
          <w:color w:val="FF0000"/>
        </w:rPr>
      </w:r>
    </w:p>
    <w:tbl>
      <w:tblPr>
        <w:tblW w:w="9318" w:type="dxa"/>
        <w:jc w:val="left"/>
        <w:tblInd w:w="-123" w:type="dxa"/>
        <w:tblCellMar>
          <w:top w:w="0" w:type="dxa"/>
          <w:left w:w="108" w:type="dxa"/>
          <w:bottom w:w="0" w:type="dxa"/>
          <w:right w:w="108" w:type="dxa"/>
        </w:tblCellMar>
      </w:tblPr>
      <w:tblGrid>
        <w:gridCol w:w="844"/>
        <w:gridCol w:w="4955"/>
        <w:gridCol w:w="1752"/>
        <w:gridCol w:w="1767"/>
      </w:tblGrid>
      <w:tr>
        <w:trPr/>
        <w:tc>
          <w:tcPr>
            <w:tcW w:w="844" w:type="dxa"/>
            <w:tcBorders>
              <w:top w:val="single" w:sz="12" w:space="0" w:color="000000"/>
              <w:left w:val="single" w:sz="12" w:space="0" w:color="000000"/>
              <w:bottom w:val="single" w:sz="4" w:space="0" w:color="000000"/>
            </w:tcBorders>
            <w:shd w:fill="auto" w:val="clear"/>
          </w:tcPr>
          <w:p>
            <w:pPr>
              <w:pStyle w:val="Normal"/>
              <w:snapToGrid w:val="false"/>
              <w:ind w:right="-180" w:hanging="0"/>
              <w:jc w:val="center"/>
              <w:rPr>
                <w:b/>
                <w:b/>
              </w:rPr>
            </w:pPr>
            <w:r>
              <w:rPr>
                <w:b/>
              </w:rPr>
            </w:r>
          </w:p>
          <w:p>
            <w:pPr>
              <w:pStyle w:val="Normal"/>
              <w:ind w:right="-180" w:hanging="0"/>
              <w:jc w:val="center"/>
              <w:rPr>
                <w:b/>
                <w:b/>
              </w:rPr>
            </w:pPr>
            <w:r>
              <w:rPr>
                <w:b/>
              </w:rPr>
              <w:t>Lp.</w:t>
            </w:r>
          </w:p>
          <w:p>
            <w:pPr>
              <w:pStyle w:val="Normal"/>
              <w:ind w:right="-180" w:hanging="0"/>
              <w:jc w:val="center"/>
              <w:rPr>
                <w:b/>
                <w:b/>
              </w:rPr>
            </w:pPr>
            <w:r>
              <w:rPr>
                <w:b/>
              </w:rPr>
            </w:r>
          </w:p>
        </w:tc>
        <w:tc>
          <w:tcPr>
            <w:tcW w:w="4955" w:type="dxa"/>
            <w:tcBorders>
              <w:top w:val="single" w:sz="12" w:space="0" w:color="000000"/>
              <w:left w:val="single" w:sz="4" w:space="0" w:color="000000"/>
              <w:bottom w:val="single" w:sz="4" w:space="0" w:color="000000"/>
            </w:tcBorders>
            <w:shd w:fill="auto" w:val="clear"/>
          </w:tcPr>
          <w:p>
            <w:pPr>
              <w:pStyle w:val="Normal"/>
              <w:snapToGrid w:val="false"/>
              <w:ind w:right="-180" w:hanging="0"/>
              <w:jc w:val="center"/>
              <w:rPr>
                <w:b/>
                <w:b/>
              </w:rPr>
            </w:pPr>
            <w:r>
              <w:rPr>
                <w:b/>
              </w:rPr>
            </w:r>
          </w:p>
          <w:p>
            <w:pPr>
              <w:pStyle w:val="Normal"/>
              <w:ind w:right="-180" w:hanging="0"/>
              <w:jc w:val="center"/>
              <w:rPr>
                <w:b/>
                <w:b/>
              </w:rPr>
            </w:pPr>
            <w:r>
              <w:rPr>
                <w:b/>
              </w:rPr>
              <w:t>Wyszczególnienie</w:t>
            </w:r>
          </w:p>
        </w:tc>
        <w:tc>
          <w:tcPr>
            <w:tcW w:w="1752" w:type="dxa"/>
            <w:tcBorders>
              <w:top w:val="single" w:sz="12" w:space="0" w:color="000000"/>
              <w:left w:val="single" w:sz="4" w:space="0" w:color="000000"/>
              <w:bottom w:val="single" w:sz="4" w:space="0" w:color="000000"/>
            </w:tcBorders>
            <w:shd w:fill="auto" w:val="clear"/>
          </w:tcPr>
          <w:p>
            <w:pPr>
              <w:pStyle w:val="Normal"/>
              <w:snapToGrid w:val="false"/>
              <w:ind w:right="-180" w:hanging="0"/>
              <w:jc w:val="center"/>
              <w:rPr>
                <w:b/>
                <w:b/>
              </w:rPr>
            </w:pPr>
            <w:r>
              <w:rPr>
                <w:b/>
              </w:rPr>
            </w:r>
          </w:p>
          <w:p>
            <w:pPr>
              <w:pStyle w:val="Normal"/>
              <w:ind w:right="-180" w:hanging="0"/>
              <w:jc w:val="center"/>
              <w:rPr>
                <w:b/>
                <w:b/>
              </w:rPr>
            </w:pPr>
            <w:r>
              <w:rPr>
                <w:b/>
              </w:rPr>
              <w:t>Przychody</w:t>
            </w:r>
          </w:p>
        </w:tc>
        <w:tc>
          <w:tcPr>
            <w:tcW w:w="1767" w:type="dxa"/>
            <w:tcBorders>
              <w:top w:val="single" w:sz="12" w:space="0" w:color="000000"/>
              <w:left w:val="single" w:sz="4" w:space="0" w:color="000000"/>
              <w:bottom w:val="single" w:sz="4" w:space="0" w:color="000000"/>
              <w:right w:val="single" w:sz="12" w:space="0" w:color="000000"/>
            </w:tcBorders>
            <w:shd w:fill="auto" w:val="clear"/>
          </w:tcPr>
          <w:p>
            <w:pPr>
              <w:pStyle w:val="Normal"/>
              <w:snapToGrid w:val="false"/>
              <w:ind w:right="-180" w:hanging="0"/>
              <w:jc w:val="center"/>
              <w:rPr>
                <w:b/>
                <w:b/>
              </w:rPr>
            </w:pPr>
            <w:r>
              <w:rPr>
                <w:b/>
              </w:rPr>
            </w:r>
          </w:p>
          <w:p>
            <w:pPr>
              <w:pStyle w:val="Normal"/>
              <w:ind w:right="-180" w:hanging="0"/>
              <w:jc w:val="center"/>
              <w:rPr>
                <w:b/>
                <w:b/>
              </w:rPr>
            </w:pPr>
            <w:r>
              <w:rPr>
                <w:b/>
              </w:rPr>
              <w:t>Rozchody</w:t>
            </w:r>
          </w:p>
        </w:tc>
      </w:tr>
      <w:tr>
        <w:trPr/>
        <w:tc>
          <w:tcPr>
            <w:tcW w:w="844" w:type="dxa"/>
            <w:tcBorders>
              <w:top w:val="single" w:sz="4" w:space="0" w:color="000000"/>
              <w:left w:val="single" w:sz="12" w:space="0" w:color="000000"/>
              <w:bottom w:val="single" w:sz="12" w:space="0" w:color="000000"/>
            </w:tcBorders>
            <w:shd w:fill="auto" w:val="clear"/>
          </w:tcPr>
          <w:p>
            <w:pPr>
              <w:pStyle w:val="Normal"/>
              <w:ind w:right="-180" w:hanging="0"/>
              <w:jc w:val="center"/>
              <w:rPr>
                <w:sz w:val="20"/>
                <w:szCs w:val="20"/>
              </w:rPr>
            </w:pPr>
            <w:r>
              <w:rPr>
                <w:sz w:val="20"/>
                <w:szCs w:val="20"/>
              </w:rPr>
              <w:t>1</w:t>
            </w:r>
          </w:p>
        </w:tc>
        <w:tc>
          <w:tcPr>
            <w:tcW w:w="4955" w:type="dxa"/>
            <w:tcBorders>
              <w:top w:val="single" w:sz="4" w:space="0" w:color="000000"/>
              <w:left w:val="single" w:sz="4" w:space="0" w:color="000000"/>
              <w:bottom w:val="single" w:sz="12" w:space="0" w:color="000000"/>
            </w:tcBorders>
            <w:shd w:fill="auto" w:val="clear"/>
          </w:tcPr>
          <w:p>
            <w:pPr>
              <w:pStyle w:val="Normal"/>
              <w:ind w:right="-180" w:hanging="0"/>
              <w:jc w:val="center"/>
              <w:rPr>
                <w:sz w:val="20"/>
                <w:szCs w:val="20"/>
              </w:rPr>
            </w:pPr>
            <w:r>
              <w:rPr>
                <w:sz w:val="20"/>
                <w:szCs w:val="20"/>
              </w:rPr>
              <w:t>2</w:t>
            </w:r>
          </w:p>
        </w:tc>
        <w:tc>
          <w:tcPr>
            <w:tcW w:w="1752" w:type="dxa"/>
            <w:tcBorders>
              <w:top w:val="single" w:sz="4" w:space="0" w:color="000000"/>
              <w:left w:val="single" w:sz="4" w:space="0" w:color="000000"/>
              <w:bottom w:val="single" w:sz="12" w:space="0" w:color="000000"/>
            </w:tcBorders>
            <w:shd w:fill="auto" w:val="clear"/>
          </w:tcPr>
          <w:p>
            <w:pPr>
              <w:pStyle w:val="Normal"/>
              <w:ind w:right="-180" w:hanging="0"/>
              <w:jc w:val="center"/>
              <w:rPr>
                <w:sz w:val="20"/>
                <w:szCs w:val="20"/>
              </w:rPr>
            </w:pPr>
            <w:r>
              <w:rPr>
                <w:sz w:val="20"/>
                <w:szCs w:val="20"/>
              </w:rPr>
              <w:t>3</w:t>
            </w:r>
          </w:p>
        </w:tc>
        <w:tc>
          <w:tcPr>
            <w:tcW w:w="1767" w:type="dxa"/>
            <w:tcBorders>
              <w:top w:val="single" w:sz="4" w:space="0" w:color="000000"/>
              <w:left w:val="single" w:sz="4" w:space="0" w:color="000000"/>
              <w:bottom w:val="single" w:sz="12" w:space="0" w:color="000000"/>
              <w:right w:val="single" w:sz="12" w:space="0" w:color="000000"/>
            </w:tcBorders>
            <w:shd w:fill="auto" w:val="clear"/>
          </w:tcPr>
          <w:p>
            <w:pPr>
              <w:pStyle w:val="Normal"/>
              <w:ind w:right="-180" w:hanging="0"/>
              <w:jc w:val="center"/>
              <w:rPr>
                <w:sz w:val="20"/>
                <w:szCs w:val="20"/>
              </w:rPr>
            </w:pPr>
            <w:r>
              <w:rPr>
                <w:sz w:val="20"/>
                <w:szCs w:val="20"/>
              </w:rPr>
              <w:t>4</w:t>
            </w:r>
          </w:p>
        </w:tc>
      </w:tr>
      <w:tr>
        <w:trPr/>
        <w:tc>
          <w:tcPr>
            <w:tcW w:w="844" w:type="dxa"/>
            <w:tcBorders>
              <w:top w:val="single" w:sz="4" w:space="0" w:color="000000"/>
              <w:left w:val="single" w:sz="12" w:space="0" w:color="000000"/>
              <w:bottom w:val="single" w:sz="12" w:space="0" w:color="000000"/>
            </w:tcBorders>
            <w:shd w:fill="auto" w:val="clear"/>
          </w:tcPr>
          <w:p>
            <w:pPr>
              <w:pStyle w:val="Normal"/>
              <w:ind w:right="-180" w:hanging="0"/>
              <w:rPr>
                <w:b/>
                <w:b/>
              </w:rPr>
            </w:pPr>
            <w:r>
              <w:rPr>
                <w:b/>
              </w:rPr>
              <w:t xml:space="preserve">     </w:t>
            </w:r>
          </w:p>
          <w:p>
            <w:pPr>
              <w:pStyle w:val="Normal"/>
              <w:ind w:right="-180" w:hanging="0"/>
              <w:rPr/>
            </w:pPr>
            <w:r>
              <w:rPr/>
              <w:t xml:space="preserve">     </w:t>
            </w:r>
            <w:r>
              <w:rPr/>
              <w:t>1.</w:t>
            </w:r>
          </w:p>
        </w:tc>
        <w:tc>
          <w:tcPr>
            <w:tcW w:w="4955"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rPr/>
            </w:pPr>
            <w:r>
              <w:rPr>
                <w:b/>
              </w:rPr>
              <w:t xml:space="preserve">992 – </w:t>
            </w:r>
            <w:r>
              <w:rPr/>
              <w:t>Spłaty otrzymanych krajowych pożyczek i kredytów</w:t>
            </w:r>
          </w:p>
        </w:tc>
        <w:tc>
          <w:tcPr>
            <w:tcW w:w="1752"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jc w:val="center"/>
              <w:rPr/>
            </w:pPr>
            <w:r>
              <w:rPr/>
              <w:t>-</w:t>
            </w:r>
          </w:p>
          <w:p>
            <w:pPr>
              <w:pStyle w:val="Normal"/>
              <w:ind w:right="-180" w:hanging="0"/>
              <w:jc w:val="center"/>
              <w:rPr/>
            </w:pPr>
            <w:r>
              <w:rPr/>
            </w:r>
          </w:p>
        </w:tc>
        <w:tc>
          <w:tcPr>
            <w:tcW w:w="1767" w:type="dxa"/>
            <w:tcBorders>
              <w:top w:val="single" w:sz="4" w:space="0" w:color="000000"/>
              <w:left w:val="single" w:sz="4" w:space="0" w:color="000000"/>
              <w:bottom w:val="single" w:sz="12" w:space="0" w:color="000000"/>
              <w:right w:val="single" w:sz="12" w:space="0" w:color="000000"/>
            </w:tcBorders>
            <w:shd w:fill="auto" w:val="clear"/>
          </w:tcPr>
          <w:p>
            <w:pPr>
              <w:pStyle w:val="Normal"/>
              <w:snapToGrid w:val="false"/>
              <w:ind w:right="-180" w:hanging="0"/>
              <w:rPr/>
            </w:pPr>
            <w:r>
              <w:rPr/>
            </w:r>
          </w:p>
          <w:p>
            <w:pPr>
              <w:pStyle w:val="Normal"/>
              <w:ind w:right="-180" w:hanging="0"/>
              <w:jc w:val="center"/>
              <w:rPr/>
            </w:pPr>
            <w:r>
              <w:rPr/>
              <w:t>629 100,00</w:t>
            </w:r>
          </w:p>
          <w:p>
            <w:pPr>
              <w:pStyle w:val="Normal"/>
              <w:ind w:right="-180" w:hanging="0"/>
              <w:jc w:val="center"/>
              <w:rPr/>
            </w:pPr>
            <w:r>
              <w:rPr/>
            </w:r>
          </w:p>
          <w:p>
            <w:pPr>
              <w:pStyle w:val="Normal"/>
              <w:ind w:right="-180" w:hanging="0"/>
              <w:rPr/>
            </w:pPr>
            <w:r>
              <w:rPr/>
            </w:r>
          </w:p>
        </w:tc>
      </w:tr>
      <w:tr>
        <w:trPr>
          <w:trHeight w:val="907" w:hRule="atLeast"/>
        </w:trPr>
        <w:tc>
          <w:tcPr>
            <w:tcW w:w="844" w:type="dxa"/>
            <w:tcBorders>
              <w:top w:val="single" w:sz="4" w:space="0" w:color="000000"/>
              <w:left w:val="single" w:sz="12" w:space="0" w:color="000000"/>
              <w:bottom w:val="single" w:sz="12" w:space="0" w:color="000000"/>
            </w:tcBorders>
            <w:shd w:fill="auto" w:val="clear"/>
          </w:tcPr>
          <w:p>
            <w:pPr>
              <w:pStyle w:val="Normal"/>
              <w:ind w:right="-180" w:hanging="0"/>
              <w:rPr>
                <w:b/>
                <w:b/>
              </w:rPr>
            </w:pPr>
            <w:r>
              <w:rPr>
                <w:b/>
              </w:rPr>
              <w:t xml:space="preserve">     </w:t>
            </w:r>
          </w:p>
          <w:p>
            <w:pPr>
              <w:pStyle w:val="Normal"/>
              <w:ind w:right="-180" w:hanging="0"/>
              <w:rPr/>
            </w:pPr>
            <w:r>
              <w:rPr/>
              <w:t xml:space="preserve">     </w:t>
            </w:r>
            <w:r>
              <w:rPr/>
              <w:t>2.</w:t>
            </w:r>
          </w:p>
        </w:tc>
        <w:tc>
          <w:tcPr>
            <w:tcW w:w="4955"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rPr/>
            </w:pPr>
            <w:r>
              <w:rPr>
                <w:b/>
              </w:rPr>
              <w:t xml:space="preserve">950 – </w:t>
            </w:r>
            <w:r>
              <w:rPr/>
              <w:t>Wolne środki, o których mowa w art. 217 ust. 2 pkt 6 ustawy</w:t>
            </w:r>
          </w:p>
        </w:tc>
        <w:tc>
          <w:tcPr>
            <w:tcW w:w="1752"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jc w:val="center"/>
              <w:rPr/>
            </w:pPr>
            <w:r>
              <w:rPr/>
              <w:t>3 098 721,00</w:t>
            </w:r>
          </w:p>
        </w:tc>
        <w:tc>
          <w:tcPr>
            <w:tcW w:w="1767" w:type="dxa"/>
            <w:tcBorders>
              <w:top w:val="single" w:sz="4" w:space="0" w:color="000000"/>
              <w:left w:val="single" w:sz="4" w:space="0" w:color="000000"/>
              <w:bottom w:val="single" w:sz="12" w:space="0" w:color="000000"/>
              <w:right w:val="single" w:sz="12" w:space="0" w:color="000000"/>
            </w:tcBorders>
            <w:shd w:fill="auto" w:val="clear"/>
          </w:tcPr>
          <w:p>
            <w:pPr>
              <w:pStyle w:val="Normal"/>
              <w:snapToGrid w:val="false"/>
              <w:ind w:right="-180" w:hanging="0"/>
              <w:rPr/>
            </w:pPr>
            <w:r>
              <w:rPr/>
            </w:r>
          </w:p>
          <w:p>
            <w:pPr>
              <w:pStyle w:val="Normal"/>
              <w:ind w:right="-180" w:hanging="0"/>
              <w:jc w:val="center"/>
              <w:rPr/>
            </w:pPr>
            <w:r>
              <w:rPr/>
              <w:t>-</w:t>
            </w:r>
          </w:p>
          <w:p>
            <w:pPr>
              <w:pStyle w:val="Normal"/>
              <w:ind w:right="-180" w:hanging="0"/>
              <w:jc w:val="center"/>
              <w:rPr/>
            </w:pPr>
            <w:r>
              <w:rPr/>
            </w:r>
          </w:p>
          <w:p>
            <w:pPr>
              <w:pStyle w:val="Normal"/>
              <w:ind w:right="-180" w:hanging="0"/>
              <w:rPr/>
            </w:pPr>
            <w:r>
              <w:rPr/>
            </w:r>
          </w:p>
        </w:tc>
      </w:tr>
      <w:tr>
        <w:trPr/>
        <w:tc>
          <w:tcPr>
            <w:tcW w:w="844" w:type="dxa"/>
            <w:tcBorders>
              <w:top w:val="single" w:sz="4" w:space="0" w:color="000000"/>
              <w:left w:val="single" w:sz="12" w:space="0" w:color="000000"/>
              <w:bottom w:val="single" w:sz="12" w:space="0" w:color="000000"/>
            </w:tcBorders>
            <w:shd w:fill="auto" w:val="clear"/>
          </w:tcPr>
          <w:p>
            <w:pPr>
              <w:pStyle w:val="Normal"/>
              <w:ind w:right="-180" w:hanging="0"/>
              <w:rPr>
                <w:b/>
                <w:b/>
              </w:rPr>
            </w:pPr>
            <w:r>
              <w:rPr>
                <w:b/>
              </w:rPr>
              <w:t xml:space="preserve">     </w:t>
            </w:r>
          </w:p>
          <w:p>
            <w:pPr>
              <w:pStyle w:val="Normal"/>
              <w:ind w:right="-180" w:hanging="0"/>
              <w:rPr/>
            </w:pPr>
            <w:r>
              <w:rPr/>
              <w:t xml:space="preserve">     </w:t>
            </w:r>
            <w:r>
              <w:rPr/>
              <w:t>3.</w:t>
            </w:r>
          </w:p>
        </w:tc>
        <w:tc>
          <w:tcPr>
            <w:tcW w:w="4955"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rPr/>
            </w:pPr>
            <w:r>
              <w:rPr>
                <w:b/>
              </w:rPr>
              <w:t xml:space="preserve">952 – </w:t>
            </w:r>
            <w:r>
              <w:rPr/>
              <w:t>Przychody z zaciągniętych pożyczek i kredytów na rynku krajowym</w:t>
            </w:r>
          </w:p>
        </w:tc>
        <w:tc>
          <w:tcPr>
            <w:tcW w:w="1752" w:type="dxa"/>
            <w:tcBorders>
              <w:top w:val="single" w:sz="4" w:space="0" w:color="000000"/>
              <w:left w:val="single" w:sz="4" w:space="0" w:color="000000"/>
              <w:bottom w:val="single" w:sz="12" w:space="0" w:color="000000"/>
            </w:tcBorders>
            <w:shd w:fill="auto" w:val="clear"/>
          </w:tcPr>
          <w:p>
            <w:pPr>
              <w:pStyle w:val="Normal"/>
              <w:snapToGrid w:val="false"/>
              <w:ind w:right="-180" w:hanging="0"/>
              <w:rPr/>
            </w:pPr>
            <w:r>
              <w:rPr/>
            </w:r>
          </w:p>
          <w:p>
            <w:pPr>
              <w:pStyle w:val="Normal"/>
              <w:ind w:right="-180" w:hanging="0"/>
              <w:jc w:val="center"/>
              <w:rPr/>
            </w:pPr>
            <w:r>
              <w:rPr/>
              <w:t>6 700 000,00</w:t>
            </w:r>
          </w:p>
        </w:tc>
        <w:tc>
          <w:tcPr>
            <w:tcW w:w="1767" w:type="dxa"/>
            <w:tcBorders>
              <w:top w:val="single" w:sz="4" w:space="0" w:color="000000"/>
              <w:left w:val="single" w:sz="4" w:space="0" w:color="000000"/>
              <w:bottom w:val="single" w:sz="12" w:space="0" w:color="000000"/>
              <w:right w:val="single" w:sz="12" w:space="0" w:color="000000"/>
            </w:tcBorders>
            <w:shd w:fill="auto" w:val="clear"/>
          </w:tcPr>
          <w:p>
            <w:pPr>
              <w:pStyle w:val="Normal"/>
              <w:snapToGrid w:val="false"/>
              <w:ind w:right="-180" w:hanging="0"/>
              <w:rPr/>
            </w:pPr>
            <w:r>
              <w:rPr/>
            </w:r>
          </w:p>
          <w:p>
            <w:pPr>
              <w:pStyle w:val="Normal"/>
              <w:ind w:right="-180" w:hanging="0"/>
              <w:jc w:val="center"/>
              <w:rPr/>
            </w:pPr>
            <w:r>
              <w:rPr/>
              <w:t>-</w:t>
            </w:r>
          </w:p>
          <w:p>
            <w:pPr>
              <w:pStyle w:val="Normal"/>
              <w:ind w:right="-180" w:hanging="0"/>
              <w:jc w:val="center"/>
              <w:rPr/>
            </w:pPr>
            <w:r>
              <w:rPr/>
            </w:r>
          </w:p>
          <w:p>
            <w:pPr>
              <w:pStyle w:val="Normal"/>
              <w:ind w:right="-180" w:hanging="0"/>
              <w:rPr/>
            </w:pPr>
            <w:r>
              <w:rPr/>
            </w:r>
          </w:p>
        </w:tc>
      </w:tr>
      <w:tr>
        <w:trPr>
          <w:trHeight w:val="554" w:hRule="atLeast"/>
        </w:trPr>
        <w:tc>
          <w:tcPr>
            <w:tcW w:w="5799" w:type="dxa"/>
            <w:gridSpan w:val="2"/>
            <w:tcBorders>
              <w:top w:val="single" w:sz="12" w:space="0" w:color="000000"/>
              <w:left w:val="single" w:sz="12" w:space="0" w:color="000000"/>
              <w:bottom w:val="single" w:sz="12" w:space="0" w:color="000000"/>
            </w:tcBorders>
            <w:shd w:fill="auto" w:val="clear"/>
            <w:vAlign w:val="center"/>
          </w:tcPr>
          <w:p>
            <w:pPr>
              <w:pStyle w:val="Normal"/>
              <w:ind w:right="-180" w:hanging="0"/>
              <w:jc w:val="center"/>
              <w:rPr>
                <w:b/>
                <w:b/>
              </w:rPr>
            </w:pPr>
            <w:r>
              <w:rPr>
                <w:b/>
              </w:rPr>
              <w:t>Ogółem</w:t>
            </w:r>
          </w:p>
        </w:tc>
        <w:tc>
          <w:tcPr>
            <w:tcW w:w="1752" w:type="dxa"/>
            <w:tcBorders>
              <w:top w:val="single" w:sz="12" w:space="0" w:color="000000"/>
              <w:left w:val="single" w:sz="4" w:space="0" w:color="000000"/>
              <w:bottom w:val="single" w:sz="12" w:space="0" w:color="000000"/>
            </w:tcBorders>
            <w:shd w:fill="auto" w:val="clear"/>
            <w:vAlign w:val="center"/>
          </w:tcPr>
          <w:p>
            <w:pPr>
              <w:pStyle w:val="Normal"/>
              <w:ind w:right="-180" w:hanging="0"/>
              <w:jc w:val="center"/>
              <w:rPr/>
            </w:pPr>
            <w:r>
              <w:rPr/>
              <w:t>9 798 721,00</w:t>
            </w:r>
          </w:p>
        </w:tc>
        <w:tc>
          <w:tcPr>
            <w:tcW w:w="1767" w:type="dxa"/>
            <w:tcBorders>
              <w:top w:val="single" w:sz="12" w:space="0" w:color="000000"/>
              <w:left w:val="single" w:sz="4" w:space="0" w:color="000000"/>
              <w:bottom w:val="single" w:sz="12" w:space="0" w:color="000000"/>
              <w:right w:val="single" w:sz="12" w:space="0" w:color="000000"/>
            </w:tcBorders>
            <w:shd w:fill="auto" w:val="clear"/>
            <w:vAlign w:val="center"/>
          </w:tcPr>
          <w:p>
            <w:pPr>
              <w:pStyle w:val="Normal"/>
              <w:ind w:right="-180" w:hanging="0"/>
              <w:jc w:val="center"/>
              <w:rPr/>
            </w:pPr>
            <w:r>
              <w:rPr/>
              <w:t>629 100,00</w:t>
            </w:r>
          </w:p>
        </w:tc>
      </w:tr>
    </w:tbl>
    <w:p>
      <w:pPr>
        <w:pStyle w:val="Normal"/>
        <w:ind w:right="-180" w:hanging="0"/>
        <w:rPr>
          <w:b/>
          <w:b/>
        </w:rPr>
      </w:pPr>
      <w:r>
        <w:rPr>
          <w:b/>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tab/>
        <w:tab/>
        <w:tab/>
        <w:tab/>
        <w:tab/>
        <w:tab/>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ind w:right="-180" w:hanging="0"/>
        <w:rPr>
          <w:b/>
          <w:b/>
          <w:color w:val="FF0000"/>
        </w:rPr>
      </w:pPr>
      <w:r>
        <w:rPr>
          <w:b/>
          <w:color w:val="FF0000"/>
        </w:rPr>
      </w:r>
    </w:p>
    <w:p>
      <w:pPr>
        <w:pStyle w:val="Normal"/>
        <w:rPr>
          <w:color w:val="FF0000"/>
        </w:rPr>
      </w:pPr>
      <w:r>
        <w:rPr>
          <w:color w:val="FF0000"/>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sz w:val="18"/>
          <w:szCs w:val="18"/>
        </w:rPr>
      </w:pPr>
      <w:r>
        <w:rPr/>
      </w:r>
    </w:p>
    <w:p>
      <w:pPr>
        <w:pStyle w:val="Normal"/>
        <w:spacing w:lineRule="auto" w:line="240"/>
        <w:rPr>
          <w:sz w:val="18"/>
          <w:szCs w:val="18"/>
        </w:rPr>
      </w:pPr>
      <w:r>
        <w:rPr/>
      </w:r>
    </w:p>
    <w:p>
      <w:pPr>
        <w:pStyle w:val="Normal"/>
        <w:spacing w:lineRule="auto" w:line="240"/>
        <w:rPr/>
      </w:pPr>
      <w:r>
        <w:rPr>
          <w:sz w:val="18"/>
          <w:szCs w:val="18"/>
        </w:rPr>
        <w:t xml:space="preserve">                                                                                                                            </w:t>
      </w:r>
      <w:r>
        <w:rPr>
          <w:sz w:val="18"/>
          <w:szCs w:val="18"/>
        </w:rPr>
        <w:t xml:space="preserve">Załącznik Nr </w:t>
      </w:r>
      <w:r>
        <w:rPr>
          <w:sz w:val="18"/>
          <w:szCs w:val="18"/>
        </w:rPr>
        <w:t>4</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autoSpaceDE w:val="false"/>
        <w:jc w:val="center"/>
        <w:rPr>
          <w:b/>
          <w:b/>
          <w:bCs/>
        </w:rPr>
      </w:pPr>
      <w:r>
        <w:rPr/>
      </w:r>
    </w:p>
    <w:p>
      <w:pPr>
        <w:pStyle w:val="Normal"/>
        <w:autoSpaceDE w:val="false"/>
        <w:jc w:val="center"/>
        <w:rPr/>
      </w:pPr>
      <w:r>
        <w:rPr>
          <w:b/>
          <w:bCs/>
        </w:rPr>
        <w:t>UCHWAŁA NR …………………..</w:t>
      </w:r>
    </w:p>
    <w:p>
      <w:pPr>
        <w:pStyle w:val="Normal"/>
        <w:autoSpaceDE w:val="false"/>
        <w:jc w:val="center"/>
        <w:rPr>
          <w:b/>
          <w:b/>
          <w:bCs/>
        </w:rPr>
      </w:pPr>
      <w:r>
        <w:rPr>
          <w:b/>
          <w:bCs/>
        </w:rPr>
        <w:t>RADY GMINY KAMIENIEC ZĄBKOWICKI</w:t>
      </w:r>
    </w:p>
    <w:p>
      <w:pPr>
        <w:pStyle w:val="Normal"/>
        <w:autoSpaceDE w:val="false"/>
        <w:jc w:val="center"/>
        <w:rPr/>
      </w:pPr>
      <w:r>
        <w:rPr/>
        <w:t>z dnia …………….. 2020 roku</w:t>
      </w:r>
    </w:p>
    <w:p>
      <w:pPr>
        <w:pStyle w:val="Normal"/>
        <w:autoSpaceDE w:val="false"/>
        <w:jc w:val="center"/>
        <w:rPr>
          <w:b/>
          <w:b/>
          <w:bCs/>
        </w:rPr>
      </w:pPr>
      <w:r>
        <w:rPr>
          <w:b/>
          <w:bCs/>
        </w:rPr>
        <w:t>w sprawie poboru opłaty skarbowej w drodze inkasa</w:t>
      </w:r>
    </w:p>
    <w:p>
      <w:pPr>
        <w:pStyle w:val="Normal"/>
        <w:autoSpaceDE w:val="false"/>
        <w:jc w:val="center"/>
        <w:rPr>
          <w:b/>
          <w:b/>
          <w:bCs/>
        </w:rPr>
      </w:pPr>
      <w:r>
        <w:rPr>
          <w:b/>
          <w:bCs/>
        </w:rPr>
      </w:r>
    </w:p>
    <w:p>
      <w:pPr>
        <w:pStyle w:val="Normal"/>
        <w:autoSpaceDE w:val="false"/>
        <w:jc w:val="center"/>
        <w:rPr>
          <w:b/>
          <w:b/>
          <w:bCs/>
        </w:rPr>
      </w:pPr>
      <w:r>
        <w:rPr>
          <w:b/>
          <w:bCs/>
        </w:rPr>
      </w:r>
    </w:p>
    <w:p>
      <w:pPr>
        <w:pStyle w:val="Normal"/>
        <w:autoSpaceDE w:val="false"/>
        <w:ind w:firstLine="709"/>
        <w:jc w:val="both"/>
        <w:rPr/>
      </w:pPr>
      <w:r>
        <w:rPr/>
        <w:t>Na podstawie art. 18 ust. 2 pkt 8 ustawy z dnia 8 marca 1990 r. o samorządzie gminnym (t.j. Dz. U. z 2020 r., poz. 713 ze zm.), art. 8 ust. 2 ustawy z dnia 16 listopada 2006 r. o opłacie skarbowej (t.j. Dz. U. z 2020 r., poz. 1546 ze zm.) oraz art. 9, art. 28 § 4 ustawy z dnia 29 sierpnia 1997r. – Ordynacja podatkowa (t.j. Dz. U. z 2020 r., poz. 1325 ze zm.), Rada Gminy Kamieniec Ząbkowicki uchwala, co następuje:</w:t>
      </w:r>
    </w:p>
    <w:p>
      <w:pPr>
        <w:pStyle w:val="Normal"/>
        <w:autoSpaceDE w:val="false"/>
        <w:ind w:firstLine="709"/>
        <w:jc w:val="both"/>
        <w:rPr/>
      </w:pPr>
      <w:r>
        <w:rPr/>
      </w:r>
    </w:p>
    <w:p>
      <w:pPr>
        <w:pStyle w:val="Normal"/>
        <w:autoSpaceDE w:val="false"/>
        <w:ind w:firstLine="708"/>
        <w:jc w:val="both"/>
        <w:rPr/>
      </w:pPr>
      <w:r>
        <w:rPr>
          <w:b/>
          <w:bCs/>
        </w:rPr>
        <w:t xml:space="preserve">§ 1. </w:t>
      </w:r>
      <w:r>
        <w:rPr/>
        <w:t>Zarządza się pobór opłaty skarbowej w drodze inkasa.</w:t>
      </w:r>
    </w:p>
    <w:p>
      <w:pPr>
        <w:pStyle w:val="Normal"/>
        <w:autoSpaceDE w:val="false"/>
        <w:ind w:firstLine="708"/>
        <w:jc w:val="both"/>
        <w:rPr/>
      </w:pPr>
      <w:r>
        <w:rPr/>
      </w:r>
    </w:p>
    <w:p>
      <w:pPr>
        <w:pStyle w:val="Normal"/>
        <w:autoSpaceDE w:val="false"/>
        <w:ind w:firstLine="708"/>
        <w:jc w:val="both"/>
        <w:rPr/>
      </w:pPr>
      <w:r>
        <w:rPr>
          <w:b/>
          <w:bCs/>
        </w:rPr>
        <w:t xml:space="preserve">§ 2. </w:t>
      </w:r>
      <w:r>
        <w:rPr/>
        <w:t xml:space="preserve">Wyznacza się następujących inkasentów opłaty skarbowej: </w:t>
      </w:r>
    </w:p>
    <w:p>
      <w:pPr>
        <w:pStyle w:val="Normal"/>
        <w:numPr>
          <w:ilvl w:val="0"/>
          <w:numId w:val="1"/>
        </w:numPr>
        <w:autoSpaceDE w:val="false"/>
        <w:ind w:left="1066" w:hanging="357"/>
        <w:jc w:val="both"/>
        <w:rPr/>
      </w:pPr>
      <w:r>
        <w:rPr/>
        <w:t>Michalik Klaudia</w:t>
      </w:r>
    </w:p>
    <w:p>
      <w:pPr>
        <w:pStyle w:val="Normal"/>
        <w:numPr>
          <w:ilvl w:val="0"/>
          <w:numId w:val="1"/>
        </w:numPr>
        <w:autoSpaceDE w:val="false"/>
        <w:ind w:left="1066" w:hanging="357"/>
        <w:jc w:val="both"/>
        <w:rPr/>
      </w:pPr>
      <w:r>
        <w:rPr/>
        <w:t xml:space="preserve">Hercuń Marta </w:t>
      </w:r>
    </w:p>
    <w:p>
      <w:pPr>
        <w:pStyle w:val="Normal"/>
        <w:numPr>
          <w:ilvl w:val="0"/>
          <w:numId w:val="1"/>
        </w:numPr>
        <w:autoSpaceDE w:val="false"/>
        <w:ind w:left="1066" w:hanging="357"/>
        <w:jc w:val="both"/>
        <w:rPr/>
      </w:pPr>
      <w:r>
        <w:rPr/>
        <w:t xml:space="preserve">Wołoszczuk Karolina </w:t>
      </w:r>
    </w:p>
    <w:p>
      <w:pPr>
        <w:pStyle w:val="Normal"/>
        <w:numPr>
          <w:ilvl w:val="0"/>
          <w:numId w:val="1"/>
        </w:numPr>
        <w:autoSpaceDE w:val="false"/>
        <w:ind w:left="1066" w:hanging="357"/>
        <w:jc w:val="both"/>
        <w:rPr/>
      </w:pPr>
      <w:r>
        <w:rPr/>
        <w:t xml:space="preserve">Zinkiewicz Adam </w:t>
      </w:r>
    </w:p>
    <w:p>
      <w:pPr>
        <w:pStyle w:val="Normal"/>
        <w:numPr>
          <w:ilvl w:val="0"/>
          <w:numId w:val="1"/>
        </w:numPr>
        <w:autoSpaceDE w:val="false"/>
        <w:ind w:left="1066" w:hanging="357"/>
        <w:jc w:val="both"/>
        <w:rPr/>
      </w:pPr>
      <w:r>
        <w:rPr/>
        <w:t xml:space="preserve">Rogowska - Koprzak Agnieszka </w:t>
      </w:r>
    </w:p>
    <w:p>
      <w:pPr>
        <w:pStyle w:val="Normal"/>
        <w:numPr>
          <w:ilvl w:val="0"/>
          <w:numId w:val="1"/>
        </w:numPr>
        <w:autoSpaceDE w:val="false"/>
        <w:ind w:left="1066" w:hanging="357"/>
        <w:jc w:val="both"/>
        <w:rPr/>
      </w:pPr>
      <w:r>
        <w:rPr/>
        <w:t>Podgórna Anna</w:t>
      </w:r>
    </w:p>
    <w:p>
      <w:pPr>
        <w:pStyle w:val="Normal"/>
        <w:numPr>
          <w:ilvl w:val="0"/>
          <w:numId w:val="1"/>
        </w:numPr>
        <w:autoSpaceDE w:val="false"/>
        <w:ind w:left="1066" w:hanging="357"/>
        <w:jc w:val="both"/>
        <w:rPr/>
      </w:pPr>
      <w:r>
        <w:rPr/>
        <w:t>Skrzypiec Marta</w:t>
      </w:r>
    </w:p>
    <w:p>
      <w:pPr>
        <w:pStyle w:val="Normal"/>
        <w:autoSpaceDE w:val="false"/>
        <w:ind w:left="1066" w:hanging="0"/>
        <w:jc w:val="both"/>
        <w:rPr/>
      </w:pPr>
      <w:r>
        <w:rPr/>
      </w:r>
    </w:p>
    <w:p>
      <w:pPr>
        <w:pStyle w:val="Normal"/>
        <w:autoSpaceDE w:val="false"/>
        <w:ind w:firstLine="709"/>
        <w:jc w:val="both"/>
        <w:rPr/>
      </w:pPr>
      <w:r>
        <w:rPr>
          <w:b/>
          <w:bCs/>
        </w:rPr>
        <w:t xml:space="preserve">§ 3. </w:t>
      </w:r>
      <w:r>
        <w:rPr/>
        <w:t>Inkasent jest zobowiązany do wpłacania pobranych kwot opłaty skarbowej na rachunek Urzędu Gminy Kamieniec Ząbkowicki najpóźniej trzeciego dnia po ostatnim dniu, w którym, zgodnie z przepisami prawa wpłata, powinna nastąpić.</w:t>
      </w:r>
    </w:p>
    <w:p>
      <w:pPr>
        <w:pStyle w:val="Normal"/>
        <w:autoSpaceDE w:val="false"/>
        <w:ind w:firstLine="709"/>
        <w:jc w:val="both"/>
        <w:rPr/>
      </w:pPr>
      <w:r>
        <w:rPr/>
      </w:r>
    </w:p>
    <w:p>
      <w:pPr>
        <w:pStyle w:val="Normal"/>
        <w:autoSpaceDE w:val="false"/>
        <w:ind w:firstLine="709"/>
        <w:jc w:val="both"/>
        <w:rPr/>
      </w:pPr>
      <w:r>
        <w:rPr>
          <w:b/>
          <w:bCs/>
        </w:rPr>
        <w:t xml:space="preserve">§ 4. </w:t>
      </w:r>
      <w:r>
        <w:rPr/>
        <w:t>Ustala się wynagrodzenie za inkaso w wysokości 5 % pobranych i wpłaconych kwot opłaty</w:t>
      </w:r>
    </w:p>
    <w:p>
      <w:pPr>
        <w:pStyle w:val="Normal"/>
        <w:autoSpaceDE w:val="false"/>
        <w:ind w:firstLine="709"/>
        <w:jc w:val="both"/>
        <w:rPr/>
      </w:pPr>
      <w:r>
        <w:rPr/>
      </w:r>
    </w:p>
    <w:p>
      <w:pPr>
        <w:pStyle w:val="Normal"/>
        <w:autoSpaceDE w:val="false"/>
        <w:ind w:firstLine="709"/>
        <w:jc w:val="both"/>
        <w:rPr/>
      </w:pPr>
      <w:r>
        <w:rPr>
          <w:b/>
          <w:bCs/>
        </w:rPr>
        <w:t xml:space="preserve">§ 5. </w:t>
      </w:r>
      <w:r>
        <w:rPr/>
        <w:t xml:space="preserve">Traci moc Uchwała Nr I/4/2018 Rady Gminy Kamieniec Ząbkowicki z dnia 23 listopada 2018 r. w </w:t>
      </w:r>
      <w:r>
        <w:rPr>
          <w:bCs/>
        </w:rPr>
        <w:t>sprawie poboru opłaty skarbowej w drodze inkasa.</w:t>
      </w:r>
    </w:p>
    <w:p>
      <w:pPr>
        <w:pStyle w:val="Normal"/>
        <w:autoSpaceDE w:val="false"/>
        <w:ind w:firstLine="709"/>
        <w:jc w:val="both"/>
        <w:rPr>
          <w:bCs/>
        </w:rPr>
      </w:pPr>
      <w:r>
        <w:rPr>
          <w:bCs/>
        </w:rPr>
      </w:r>
    </w:p>
    <w:p>
      <w:pPr>
        <w:pStyle w:val="Normal"/>
        <w:autoSpaceDE w:val="false"/>
        <w:ind w:firstLine="708"/>
        <w:jc w:val="both"/>
        <w:rPr/>
      </w:pPr>
      <w:r>
        <w:rPr>
          <w:b/>
          <w:bCs/>
        </w:rPr>
        <w:t xml:space="preserve">§ 5. </w:t>
      </w:r>
      <w:r>
        <w:rPr/>
        <w:t>Wykonanie uchwały powierza się Wójtowi Gminy Kamieniec Ząbkowicki.</w:t>
      </w:r>
    </w:p>
    <w:p>
      <w:pPr>
        <w:pStyle w:val="Normal"/>
        <w:autoSpaceDE w:val="false"/>
        <w:ind w:firstLine="708"/>
        <w:jc w:val="both"/>
        <w:rPr/>
      </w:pPr>
      <w:r>
        <w:rPr/>
      </w:r>
    </w:p>
    <w:p>
      <w:pPr>
        <w:pStyle w:val="Normal"/>
        <w:autoSpaceDE w:val="false"/>
        <w:ind w:firstLine="709"/>
        <w:jc w:val="both"/>
        <w:rPr/>
      </w:pPr>
      <w:r>
        <w:rPr>
          <w:b/>
          <w:bCs/>
        </w:rPr>
        <w:t xml:space="preserve">§6. </w:t>
      </w:r>
      <w:r>
        <w:rPr/>
        <w:t>Uchwała wchodzi w życie po upływie 14 dni od dnia ogłoszenia w Dzienniku Urzędowym Województwa Dolnośląskiego.</w:t>
      </w:r>
    </w:p>
    <w:p>
      <w:pPr>
        <w:pStyle w:val="Normal"/>
        <w:autoSpaceDE w:val="false"/>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ind w:firstLine="708"/>
        <w:jc w:val="both"/>
        <w:rPr/>
      </w:pPr>
      <w:r>
        <w:rPr/>
      </w:r>
    </w:p>
    <w:p>
      <w:pPr>
        <w:pStyle w:val="Normal"/>
        <w:autoSpaceDE w:val="false"/>
        <w:spacing w:lineRule="auto" w:line="360"/>
        <w:jc w:val="center"/>
        <w:rPr/>
      </w:pPr>
      <w:r>
        <w:rPr/>
        <w:t>Uzasadnienie</w:t>
      </w:r>
    </w:p>
    <w:p>
      <w:pPr>
        <w:pStyle w:val="Normal"/>
        <w:autoSpaceDE w:val="false"/>
        <w:spacing w:lineRule="auto" w:line="360"/>
        <w:jc w:val="center"/>
        <w:rPr/>
      </w:pPr>
      <w:r>
        <w:rPr/>
      </w:r>
    </w:p>
    <w:p>
      <w:pPr>
        <w:pStyle w:val="Normal"/>
        <w:spacing w:lineRule="auto" w:line="360"/>
        <w:ind w:firstLine="708"/>
        <w:jc w:val="both"/>
        <w:rPr/>
      </w:pPr>
      <w:r>
        <w:rPr/>
        <w:t>Na podstawie art. 8 ust. 2 ustawy z dnia 16 listopada 2006 r. o</w:t>
      </w:r>
      <w:r>
        <w:rPr>
          <w:i/>
        </w:rPr>
        <w:t xml:space="preserve"> </w:t>
      </w:r>
      <w:r>
        <w:rPr>
          <w:rStyle w:val="Wyrnienie"/>
          <w:i w:val="false"/>
        </w:rPr>
        <w:t>opłacie skarbowej</w:t>
      </w:r>
      <w:r>
        <w:rPr>
          <w:rStyle w:val="Wyrnienie"/>
        </w:rPr>
        <w:t xml:space="preserve"> </w:t>
      </w:r>
      <w:r>
        <w:rPr>
          <w:rStyle w:val="Wyrnienie"/>
          <w:i w:val="false"/>
        </w:rPr>
        <w:t>(t.j. Dz. U. z 20120r., poz. 1546 ze zm.)</w:t>
      </w:r>
      <w:r>
        <w:rPr>
          <w:rStyle w:val="Wyrnienie"/>
        </w:rPr>
        <w:t xml:space="preserve"> </w:t>
      </w:r>
      <w:r>
        <w:rPr/>
        <w:t xml:space="preserve">Rada gminy może zarządzić pobór </w:t>
      </w:r>
      <w:r>
        <w:rPr>
          <w:rStyle w:val="Wyrnienie"/>
          <w:i w:val="false"/>
        </w:rPr>
        <w:t>opłaty skarbowej</w:t>
      </w:r>
      <w:r>
        <w:rPr/>
        <w:t xml:space="preserve"> w drodze inkasa, wyznaczyć inkasentów oraz określić wysokość wynagrodzenia za inkaso. </w:t>
      </w:r>
      <w:r>
        <w:rPr>
          <w:rStyle w:val="Alb"/>
        </w:rPr>
        <w:t xml:space="preserve">Zgodnie z art. 28 § 4 ustawy z dnia </w:t>
      </w:r>
      <w:r>
        <w:rPr/>
        <w:t xml:space="preserve">29 sierpnia 1997 r. Ordynacja podatkowa (t.j. Dz. U. z 2020 r., poz. 1325 ze zm.) Rada gminy, rada powiatu oraz sejmik województwa może ustalać wynagrodzenie dla płatników lub inkasentów z tytułu poboru podatków stanowiących dochody, odpowiednio, budżetu gminy, powiatu lub województwa. </w:t>
      </w:r>
    </w:p>
    <w:p>
      <w:pPr>
        <w:pStyle w:val="Normal"/>
        <w:spacing w:lineRule="auto" w:line="360"/>
        <w:ind w:firstLine="708"/>
        <w:jc w:val="both"/>
        <w:rPr/>
      </w:pPr>
      <w:r>
        <w:rPr/>
        <w:t>Wykonując zapisy powołanych wyżej przepisów prawa podjęcie niniejszej uchwały jest uzasadnione.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5</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rPr/>
      </w:pPr>
      <w:r>
        <w:rPr/>
      </w:r>
    </w:p>
    <w:p>
      <w:pPr>
        <w:pStyle w:val="Normal"/>
        <w:autoSpaceDE w:val="false"/>
        <w:jc w:val="center"/>
        <w:rPr/>
      </w:pPr>
      <w:r>
        <w:rPr>
          <w:rFonts w:cs="Tahoma" w:ascii="Tahoma" w:hAnsi="Tahoma"/>
          <w:b/>
          <w:bCs/>
        </w:rPr>
        <w:t xml:space="preserve">UCHWAŁA NR </w:t>
      </w:r>
    </w:p>
    <w:p>
      <w:pPr>
        <w:pStyle w:val="Normal"/>
        <w:autoSpaceDE w:val="false"/>
        <w:jc w:val="center"/>
        <w:rPr>
          <w:rFonts w:ascii="Tahoma" w:hAnsi="Tahoma" w:cs="Tahoma"/>
          <w:b/>
          <w:b/>
          <w:bCs/>
        </w:rPr>
      </w:pPr>
      <w:r>
        <w:rPr>
          <w:rFonts w:cs="Tahoma" w:ascii="Tahoma" w:hAnsi="Tahoma"/>
          <w:b/>
          <w:bCs/>
        </w:rPr>
        <w:t>Rady Gminy Kamieniec Ząbkowicki</w:t>
      </w:r>
    </w:p>
    <w:p>
      <w:pPr>
        <w:pStyle w:val="Normal"/>
        <w:autoSpaceDE w:val="false"/>
        <w:jc w:val="center"/>
        <w:rPr/>
      </w:pPr>
      <w:r>
        <w:rPr>
          <w:rFonts w:cs="Tahoma" w:ascii="Tahoma" w:hAnsi="Tahoma"/>
          <w:b/>
        </w:rPr>
        <w:t xml:space="preserve">z dnia </w:t>
      </w:r>
    </w:p>
    <w:p>
      <w:pPr>
        <w:pStyle w:val="Normal"/>
        <w:autoSpaceDE w:val="false"/>
        <w:jc w:val="center"/>
        <w:rPr>
          <w:rFonts w:ascii="Tahoma" w:hAnsi="Tahoma" w:cs="Tahoma"/>
        </w:rPr>
      </w:pPr>
      <w:r>
        <w:rPr>
          <w:rFonts w:cs="Tahoma" w:ascii="Tahoma" w:hAnsi="Tahoma"/>
        </w:rPr>
      </w:r>
    </w:p>
    <w:p>
      <w:pPr>
        <w:pStyle w:val="Normal"/>
        <w:autoSpaceDE w:val="false"/>
        <w:jc w:val="center"/>
        <w:rPr/>
      </w:pPr>
      <w:r>
        <w:rPr>
          <w:rFonts w:cs="Tahoma" w:ascii="Tahoma" w:hAnsi="Tahoma"/>
          <w:b/>
          <w:bCs/>
          <w:sz w:val="22"/>
          <w:szCs w:val="22"/>
        </w:rPr>
        <w:t xml:space="preserve">w sprawie wyrażenia zgody na nabycie nieruchomości do gminnego zasobu nieruchomości za cenę wyższą </w:t>
      </w:r>
    </w:p>
    <w:p>
      <w:pPr>
        <w:pStyle w:val="Normal"/>
        <w:autoSpaceDE w:val="false"/>
        <w:jc w:val="center"/>
        <w:rPr>
          <w:rFonts w:ascii="Tahoma" w:hAnsi="Tahoma" w:cs="Tahoma"/>
          <w:b/>
          <w:b/>
          <w:bCs/>
          <w:sz w:val="22"/>
          <w:szCs w:val="22"/>
        </w:rPr>
      </w:pPr>
      <w:r>
        <w:rPr>
          <w:rFonts w:cs="Tahoma" w:ascii="Tahoma" w:hAnsi="Tahoma"/>
          <w:b/>
          <w:bCs/>
          <w:sz w:val="22"/>
          <w:szCs w:val="22"/>
        </w:rPr>
      </w:r>
    </w:p>
    <w:p>
      <w:pPr>
        <w:pStyle w:val="Normal"/>
        <w:autoSpaceDE w:val="false"/>
        <w:jc w:val="center"/>
        <w:rPr>
          <w:rFonts w:ascii="Tahoma" w:hAnsi="Tahoma" w:cs="Tahoma"/>
          <w:b/>
          <w:b/>
          <w:bCs/>
        </w:rPr>
      </w:pPr>
      <w:r>
        <w:rPr>
          <w:rFonts w:cs="Tahoma" w:ascii="Tahoma" w:hAnsi="Tahoma"/>
          <w:b/>
          <w:bCs/>
        </w:rPr>
      </w:r>
    </w:p>
    <w:p>
      <w:pPr>
        <w:pStyle w:val="Normal"/>
        <w:jc w:val="both"/>
        <w:rPr/>
      </w:pPr>
      <w:r>
        <w:rPr>
          <w:rFonts w:cs="Tahoma" w:ascii="Tahoma" w:hAnsi="Tahoma"/>
        </w:rPr>
        <w:t xml:space="preserve">Na podstawie art. 18 ust. 2 pkt 9 lit. a ustawy z dnia 8 marca 1990 roku o samorządzie gminnym (tekst jednolity Dz. U. z 2020 r., poz. 713), art. 13 ust. 1 ustawy z dnia 21 sierpnia 1997 roku o gospodarce nieruchomościami (tekst jednolity Dz. U. z 2020 r., poz. 65) oraz § 5 ust. 3 Uchwały Nr XIV/87/04 Rady Gminy w Kamieńcu Ząbkowickim              z dnia 30 czerwca 2004 r. w sprawie określania zasad nabywania, zbywania i obciążania nieruchomości wchodzących w skład gminnego zasobu nieruchomościami, oraz ich wydzierżawiania lub wynajmowania na okres dłuższy niż 3 lata (Dz. Urz. Woj. Dolnośląskiego z 2004 r. Nr 148, poz. 2588 z późn. zm.) </w:t>
      </w:r>
      <w:r>
        <w:rPr>
          <w:rFonts w:cs="Tahoma" w:ascii="Tahoma" w:hAnsi="Tahoma"/>
          <w:b/>
        </w:rPr>
        <w:t>uchwala się, co następuje</w:t>
      </w:r>
      <w:r>
        <w:rPr>
          <w:rFonts w:cs="Tahoma" w:ascii="Tahoma" w:hAnsi="Tahoma"/>
        </w:rPr>
        <w:t>:</w:t>
      </w:r>
    </w:p>
    <w:p>
      <w:pPr>
        <w:pStyle w:val="Normal"/>
        <w:autoSpaceDE w:val="false"/>
        <w:jc w:val="both"/>
        <w:rPr>
          <w:rFonts w:ascii="Tahoma" w:hAnsi="Tahoma" w:cs="Tahoma"/>
          <w:sz w:val="22"/>
          <w:szCs w:val="22"/>
        </w:rPr>
      </w:pPr>
      <w:r>
        <w:rPr>
          <w:rFonts w:cs="Tahoma" w:ascii="Tahoma" w:hAnsi="Tahoma"/>
          <w:sz w:val="22"/>
          <w:szCs w:val="22"/>
        </w:rPr>
      </w:r>
    </w:p>
    <w:p>
      <w:pPr>
        <w:pStyle w:val="Normal"/>
        <w:autoSpaceDE w:val="false"/>
        <w:jc w:val="both"/>
        <w:rPr>
          <w:rFonts w:ascii="Tahoma" w:hAnsi="Tahoma" w:cs="Tahoma"/>
          <w:sz w:val="22"/>
          <w:szCs w:val="22"/>
        </w:rPr>
      </w:pPr>
      <w:r>
        <w:rPr>
          <w:rFonts w:cs="Tahoma" w:ascii="Tahoma" w:hAnsi="Tahoma"/>
          <w:sz w:val="22"/>
          <w:szCs w:val="22"/>
        </w:rPr>
      </w:r>
    </w:p>
    <w:p>
      <w:pPr>
        <w:pStyle w:val="Normal"/>
        <w:autoSpaceDE w:val="false"/>
        <w:jc w:val="center"/>
        <w:rPr/>
      </w:pPr>
      <w:r>
        <w:rPr>
          <w:rFonts w:cs="Tahoma" w:ascii="Tahoma" w:hAnsi="Tahoma"/>
          <w:b/>
          <w:bCs/>
        </w:rPr>
        <w:t>§ 1</w:t>
      </w:r>
    </w:p>
    <w:p>
      <w:pPr>
        <w:pStyle w:val="Normal"/>
        <w:autoSpaceDE w:val="false"/>
        <w:jc w:val="both"/>
        <w:rPr>
          <w:rFonts w:ascii="Tahoma" w:hAnsi="Tahoma" w:cs="Tahoma"/>
          <w:b/>
          <w:b/>
          <w:bCs/>
        </w:rPr>
      </w:pPr>
      <w:r>
        <w:rPr>
          <w:rFonts w:cs="Tahoma" w:ascii="Tahoma" w:hAnsi="Tahoma"/>
          <w:b/>
          <w:bCs/>
        </w:rPr>
      </w:r>
    </w:p>
    <w:p>
      <w:pPr>
        <w:pStyle w:val="Normal"/>
        <w:autoSpaceDE w:val="false"/>
        <w:jc w:val="both"/>
        <w:rPr>
          <w:rFonts w:ascii="Tahoma" w:hAnsi="Tahoma" w:cs="Tahoma"/>
          <w:bCs/>
        </w:rPr>
      </w:pPr>
      <w:r>
        <w:rPr>
          <w:rFonts w:cs="Tahoma" w:ascii="Tahoma" w:hAnsi="Tahoma"/>
          <w:bCs/>
        </w:rPr>
      </w:r>
    </w:p>
    <w:p>
      <w:pPr>
        <w:pStyle w:val="Normal"/>
        <w:autoSpaceDE w:val="false"/>
        <w:jc w:val="both"/>
        <w:rPr/>
      </w:pPr>
      <w:r>
        <w:rPr>
          <w:rFonts w:cs="Tahoma" w:ascii="Tahoma" w:hAnsi="Tahoma"/>
          <w:bCs/>
        </w:rPr>
        <w:t>Wyrazić zgodę na odpłatne nabycie przez Gminę nieruchomości zabudowanej położonej w obrębie Suszka nr 4 w granicach działki nr 64 o pow. 0.0500 ha, dla której Sąd Rejonowy w Ząbkowicach Śląskich prowadzi księgę wieczystą nr SW1Z/00044090/8 za cenę wynoszącą 185.000,00 zł (</w:t>
      </w:r>
      <w:r>
        <w:rPr>
          <w:rFonts w:cs="Tahoma" w:ascii="Tahoma" w:hAnsi="Tahoma"/>
          <w:bCs/>
          <w:i/>
          <w:sz w:val="20"/>
          <w:szCs w:val="20"/>
        </w:rPr>
        <w:t>słownie: sto osiemdziesiąt pięć tysięcy złotych</w:t>
      </w:r>
      <w:r>
        <w:rPr>
          <w:rFonts w:cs="Tahoma" w:ascii="Tahoma" w:hAnsi="Tahoma"/>
          <w:bCs/>
        </w:rPr>
        <w:t>).</w:t>
      </w:r>
    </w:p>
    <w:p>
      <w:pPr>
        <w:pStyle w:val="Normal"/>
        <w:autoSpaceDE w:val="false"/>
        <w:rPr>
          <w:rFonts w:ascii="Tahoma" w:hAnsi="Tahoma" w:cs="Tahoma"/>
          <w:b/>
          <w:b/>
          <w:bCs/>
        </w:rPr>
      </w:pPr>
      <w:r>
        <w:rPr>
          <w:rFonts w:cs="Tahoma" w:ascii="Tahoma" w:hAnsi="Tahoma"/>
          <w:b/>
          <w:bCs/>
        </w:rPr>
      </w:r>
    </w:p>
    <w:p>
      <w:pPr>
        <w:pStyle w:val="Normal"/>
        <w:autoSpaceDE w:val="false"/>
        <w:rPr>
          <w:rFonts w:ascii="Tahoma" w:hAnsi="Tahoma" w:cs="Tahoma"/>
          <w:b/>
          <w:b/>
          <w:bCs/>
        </w:rPr>
      </w:pPr>
      <w:r>
        <w:rPr>
          <w:rFonts w:cs="Tahoma" w:ascii="Tahoma" w:hAnsi="Tahoma"/>
          <w:b/>
          <w:bCs/>
        </w:rPr>
      </w:r>
    </w:p>
    <w:p>
      <w:pPr>
        <w:pStyle w:val="Normal"/>
        <w:autoSpaceDE w:val="false"/>
        <w:jc w:val="center"/>
        <w:rPr/>
      </w:pPr>
      <w:r>
        <w:rPr>
          <w:rFonts w:cs="Tahoma" w:ascii="Tahoma" w:hAnsi="Tahoma"/>
          <w:b/>
          <w:bCs/>
        </w:rPr>
        <w:t>§ 2</w:t>
      </w:r>
    </w:p>
    <w:p>
      <w:pPr>
        <w:pStyle w:val="Normal"/>
        <w:autoSpaceDE w:val="false"/>
        <w:jc w:val="center"/>
        <w:rPr>
          <w:rFonts w:ascii="Tahoma" w:hAnsi="Tahoma" w:cs="Tahoma"/>
          <w:b/>
          <w:b/>
          <w:bCs/>
        </w:rPr>
      </w:pPr>
      <w:r>
        <w:rPr>
          <w:rFonts w:cs="Tahoma" w:ascii="Tahoma" w:hAnsi="Tahoma"/>
          <w:b/>
          <w:bCs/>
        </w:rPr>
      </w:r>
    </w:p>
    <w:p>
      <w:pPr>
        <w:pStyle w:val="Normal"/>
        <w:autoSpaceDE w:val="false"/>
        <w:jc w:val="both"/>
        <w:rPr>
          <w:rFonts w:ascii="Tahoma" w:hAnsi="Tahoma" w:cs="Tahoma"/>
          <w:b/>
          <w:b/>
          <w:bCs/>
        </w:rPr>
      </w:pPr>
      <w:r>
        <w:rPr>
          <w:rFonts w:cs="Tahoma" w:ascii="Tahoma" w:hAnsi="Tahoma"/>
          <w:b/>
          <w:bCs/>
        </w:rPr>
      </w:r>
    </w:p>
    <w:p>
      <w:pPr>
        <w:pStyle w:val="Normal"/>
        <w:autoSpaceDE w:val="false"/>
        <w:jc w:val="both"/>
        <w:rPr>
          <w:rFonts w:ascii="Tahoma" w:hAnsi="Tahoma" w:cs="Tahoma"/>
        </w:rPr>
      </w:pPr>
      <w:r>
        <w:rPr>
          <w:rFonts w:cs="Tahoma" w:ascii="Tahoma" w:hAnsi="Tahoma"/>
        </w:rPr>
        <w:t>Wykonanie uchwały powierza się Wójtowi Gminy Kamieniec Ząbkowicki.</w:t>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pPr>
      <w:r>
        <w:rPr>
          <w:rFonts w:cs="Tahoma" w:ascii="Tahoma" w:hAnsi="Tahoma"/>
          <w:b/>
          <w:bCs/>
        </w:rPr>
        <w:t>§ 3</w:t>
      </w:r>
    </w:p>
    <w:p>
      <w:pPr>
        <w:pStyle w:val="Normal"/>
        <w:autoSpaceDE w:val="false"/>
        <w:jc w:val="center"/>
        <w:rPr>
          <w:rFonts w:ascii="Tahoma" w:hAnsi="Tahoma" w:cs="Tahoma"/>
          <w:b/>
          <w:b/>
          <w:bCs/>
        </w:rPr>
      </w:pPr>
      <w:r>
        <w:rPr>
          <w:rFonts w:cs="Tahoma" w:ascii="Tahoma" w:hAnsi="Tahoma"/>
          <w:b/>
          <w:bCs/>
        </w:rPr>
      </w:r>
    </w:p>
    <w:p>
      <w:pPr>
        <w:pStyle w:val="Normal"/>
        <w:autoSpaceDE w:val="false"/>
        <w:jc w:val="both"/>
        <w:rPr>
          <w:rFonts w:ascii="Tahoma" w:hAnsi="Tahoma" w:cs="Tahoma"/>
          <w:b/>
          <w:b/>
          <w:bCs/>
        </w:rPr>
      </w:pPr>
      <w:r>
        <w:rPr>
          <w:rFonts w:cs="Tahoma" w:ascii="Tahoma" w:hAnsi="Tahoma"/>
          <w:b/>
          <w:bCs/>
        </w:rPr>
      </w:r>
    </w:p>
    <w:p>
      <w:pPr>
        <w:pStyle w:val="Normal"/>
        <w:autoSpaceDE w:val="false"/>
        <w:jc w:val="both"/>
        <w:rPr/>
      </w:pPr>
      <w:r>
        <w:rPr>
          <w:rFonts w:cs="Tahoma" w:ascii="Tahoma" w:hAnsi="Tahoma"/>
        </w:rPr>
        <w:t>Uchwała wchodzi w życie z dniem podjęcia i podlega ogłoszeniu na tablicy ogłoszeń                          w siedzibie Urzędu Gminy w Kamieńcu Ząbkowickim.</w:t>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rPr>
      </w:pPr>
      <w:r>
        <w:rPr>
          <w:rFonts w:cs="Tahoma" w:ascii="Tahoma" w:hAnsi="Tahoma"/>
        </w:rPr>
      </w:r>
    </w:p>
    <w:p>
      <w:pPr>
        <w:pStyle w:val="Normal"/>
        <w:autoSpaceDE w:val="false"/>
        <w:jc w:val="center"/>
        <w:rPr>
          <w:rFonts w:ascii="Tahoma" w:hAnsi="Tahoma" w:cs="Tahoma"/>
          <w:b/>
          <w:b/>
          <w:bCs/>
        </w:rPr>
      </w:pPr>
      <w:r>
        <w:rPr>
          <w:rFonts w:cs="Tahoma" w:ascii="Tahoma" w:hAnsi="Tahoma"/>
          <w:b/>
          <w:bCs/>
        </w:rPr>
      </w:r>
    </w:p>
    <w:p>
      <w:pPr>
        <w:pStyle w:val="Normal"/>
        <w:autoSpaceDE w:val="false"/>
        <w:jc w:val="center"/>
        <w:rPr>
          <w:rFonts w:ascii="Tahoma" w:hAnsi="Tahoma" w:cs="Tahoma"/>
          <w:b/>
          <w:b/>
          <w:bCs/>
        </w:rPr>
      </w:pPr>
      <w:r>
        <w:rPr>
          <w:rFonts w:cs="Tahoma" w:ascii="Tahoma" w:hAnsi="Tahoma"/>
          <w:b/>
          <w:bCs/>
        </w:rPr>
      </w:r>
    </w:p>
    <w:p>
      <w:pPr>
        <w:pStyle w:val="Normal"/>
        <w:autoSpaceDE w:val="false"/>
        <w:jc w:val="center"/>
        <w:rPr>
          <w:rFonts w:ascii="Tahoma" w:hAnsi="Tahoma" w:cs="Tahoma"/>
          <w:b/>
          <w:b/>
          <w:bCs/>
        </w:rPr>
      </w:pPr>
      <w:r>
        <w:rPr>
          <w:rFonts w:cs="Tahoma" w:ascii="Tahoma" w:hAnsi="Tahoma"/>
          <w:b/>
          <w:bCs/>
        </w:rPr>
        <w:t>Uzasadnienie</w:t>
      </w:r>
    </w:p>
    <w:p>
      <w:pPr>
        <w:pStyle w:val="Normal"/>
        <w:autoSpaceDE w:val="false"/>
        <w:jc w:val="center"/>
        <w:rPr>
          <w:rFonts w:ascii="Tahoma" w:hAnsi="Tahoma" w:cs="Tahoma"/>
          <w:b/>
          <w:b/>
          <w:bCs/>
        </w:rPr>
      </w:pPr>
      <w:r>
        <w:rPr>
          <w:rFonts w:cs="Tahoma" w:ascii="Tahoma" w:hAnsi="Tahoma"/>
          <w:b/>
          <w:bCs/>
        </w:rPr>
      </w:r>
    </w:p>
    <w:p>
      <w:pPr>
        <w:pStyle w:val="Normal"/>
        <w:autoSpaceDE w:val="false"/>
        <w:jc w:val="both"/>
        <w:rPr/>
      </w:pPr>
      <w:r>
        <w:rPr>
          <w:rFonts w:cs="Tahoma" w:ascii="Tahoma" w:hAnsi="Tahoma"/>
        </w:rPr>
        <w:t>Uchwałą Nr XIV/87/04 z dnia 30 czerwca 2004 roku Rada Gminy Kamieniec Ząbkowicki ustaliła zasady nabywania, zbywania i obciążania nieruchomości wchodzących w skład gminnego zasobu nieruchomości oraz ich wydzierżawiania lub wynajmowania na okres dłuższy niż 3 lata.</w:t>
      </w:r>
    </w:p>
    <w:p>
      <w:pPr>
        <w:pStyle w:val="Normal"/>
        <w:autoSpaceDE w:val="false"/>
        <w:jc w:val="both"/>
        <w:rPr/>
      </w:pPr>
      <w:r>
        <w:rPr>
          <w:rFonts w:cs="Tahoma" w:ascii="Tahoma" w:hAnsi="Tahoma"/>
        </w:rPr>
        <w:t>Nieruchomość położona w obrębie Suszka nr 4 w granicach działki nr 64 o pow. 0,0500 ha nabywana jest przez Gminę z uwagi na posadowienie budynku na skarpie w rejonie zagrożonym osuwiskiem. Wartość nieruchomości została ustalona przez rzeczoznawcę majątkowego na kwotę 160.195,00 zł (</w:t>
      </w:r>
      <w:r>
        <w:rPr>
          <w:rFonts w:cs="Tahoma" w:ascii="Tahoma" w:hAnsi="Tahoma"/>
          <w:i/>
          <w:sz w:val="20"/>
          <w:szCs w:val="20"/>
        </w:rPr>
        <w:t>sto sześćdziesiąt tysięcy sto dziewięćdziesiąt pięć złotych</w:t>
      </w:r>
      <w:r>
        <w:rPr>
          <w:rFonts w:cs="Tahoma" w:ascii="Tahoma" w:hAnsi="Tahoma"/>
        </w:rPr>
        <w:t>).</w:t>
      </w:r>
    </w:p>
    <w:p>
      <w:pPr>
        <w:pStyle w:val="Normal"/>
        <w:autoSpaceDE w:val="false"/>
        <w:jc w:val="both"/>
        <w:rPr/>
      </w:pPr>
      <w:r>
        <w:rPr>
          <w:rFonts w:cs="Tahoma" w:ascii="Tahoma" w:hAnsi="Tahoma"/>
        </w:rPr>
        <w:t xml:space="preserve">Jednakże właściciele w/w nieruchomości wyrazili chęć zbycia przedmiotowej działki na rzecz Gminy za kwotę 185.000,00 zł </w:t>
      </w:r>
      <w:r>
        <w:rPr>
          <w:rFonts w:cs="Tahoma" w:ascii="Tahoma" w:hAnsi="Tahoma"/>
          <w:bCs/>
        </w:rPr>
        <w:t>(</w:t>
      </w:r>
      <w:r>
        <w:rPr>
          <w:rFonts w:cs="Tahoma" w:ascii="Tahoma" w:hAnsi="Tahoma"/>
          <w:bCs/>
          <w:i/>
          <w:sz w:val="20"/>
          <w:szCs w:val="20"/>
        </w:rPr>
        <w:t>słownie: sto osiemdziesiąt pięć tysięcy złotych</w:t>
      </w:r>
      <w:r>
        <w:rPr>
          <w:rFonts w:cs="Tahoma" w:ascii="Tahoma" w:hAnsi="Tahoma"/>
          <w:bCs/>
        </w:rPr>
        <w:t>).</w:t>
      </w:r>
    </w:p>
    <w:p>
      <w:pPr>
        <w:pStyle w:val="Normal"/>
        <w:autoSpaceDE w:val="false"/>
        <w:jc w:val="center"/>
        <w:rPr>
          <w:rFonts w:ascii="Tahoma" w:hAnsi="Tahoma" w:cs="Tahoma"/>
          <w:b/>
          <w:b/>
          <w:bCs/>
        </w:rPr>
      </w:pPr>
      <w:r>
        <w:rPr>
          <w:rFonts w:cs="Tahoma" w:ascii="Tahoma" w:hAnsi="Tahoma"/>
          <w:b/>
          <w:bCs/>
        </w:rPr>
      </w:r>
    </w:p>
    <w:p>
      <w:pPr>
        <w:pStyle w:val="Normal"/>
        <w:autoSpaceDE w:val="false"/>
        <w:jc w:val="both"/>
        <w:rPr>
          <w:rFonts w:ascii="Tahoma" w:hAnsi="Tahoma" w:cs="Tahoma"/>
          <w:b/>
          <w:b/>
          <w:bCs/>
        </w:rPr>
      </w:pPr>
      <w:r>
        <w:rPr>
          <w:rFonts w:cs="Tahoma" w:ascii="Tahoma" w:hAnsi="Tahoma"/>
          <w:b/>
          <w:bCs/>
        </w:rPr>
      </w:r>
    </w:p>
    <w:p>
      <w:pPr>
        <w:pStyle w:val="Normal"/>
        <w:autoSpaceDE w:val="false"/>
        <w:jc w:val="both"/>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6</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ind w:right="23" w:hanging="0"/>
        <w:jc w:val="center"/>
        <w:rPr/>
      </w:pPr>
      <w:r>
        <w:rPr>
          <w:rStyle w:val="Mocnowyrniony"/>
        </w:rPr>
        <w:t xml:space="preserve">Uchwała Nr </w:t>
      </w:r>
    </w:p>
    <w:p>
      <w:pPr>
        <w:pStyle w:val="Nagwek2"/>
        <w:rPr/>
      </w:pPr>
      <w:r>
        <w:rPr>
          <w:sz w:val="24"/>
          <w:szCs w:val="24"/>
        </w:rPr>
        <w:t>                                               </w:t>
      </w:r>
      <w:r>
        <w:rPr>
          <w:color w:val="000000"/>
          <w:sz w:val="24"/>
          <w:szCs w:val="24"/>
        </w:rPr>
        <w:t>Rady Gminy Kamieniec Ząbkowicki</w:t>
      </w:r>
    </w:p>
    <w:p>
      <w:pPr>
        <w:pStyle w:val="NormalnyWeb"/>
        <w:jc w:val="center"/>
        <w:rPr/>
      </w:pPr>
      <w:r>
        <w:rPr>
          <w:rStyle w:val="Mocnowyrniony"/>
        </w:rPr>
        <w:t xml:space="preserve">     </w:t>
      </w:r>
      <w:r>
        <w:rPr>
          <w:rStyle w:val="Mocnowyrniony"/>
        </w:rPr>
        <w:t>z dnia </w:t>
      </w:r>
    </w:p>
    <w:p>
      <w:pPr>
        <w:pStyle w:val="NormalnyWeb"/>
        <w:spacing w:lineRule="auto" w:line="300"/>
        <w:jc w:val="center"/>
        <w:rPr/>
      </w:pPr>
      <w:r>
        <w:rPr/>
        <w:t> </w:t>
      </w:r>
    </w:p>
    <w:p>
      <w:pPr>
        <w:pStyle w:val="NormalnyWeb"/>
        <w:jc w:val="center"/>
        <w:rPr/>
      </w:pPr>
      <w:r>
        <w:rPr/>
        <w:t>w sprawie zmiany Gminnego Programu Profilaktyki  i Rozwiązywania  Problemów Alkoholowych i Narkomanii na  2020 rok</w:t>
      </w:r>
    </w:p>
    <w:p>
      <w:pPr>
        <w:pStyle w:val="NormalnyWeb"/>
        <w:spacing w:lineRule="auto" w:line="300"/>
        <w:jc w:val="both"/>
        <w:rPr/>
      </w:pPr>
      <w:r>
        <w:rPr/>
        <w:t> </w:t>
      </w:r>
    </w:p>
    <w:p>
      <w:pPr>
        <w:pStyle w:val="NormalnyWeb"/>
        <w:jc w:val="both"/>
        <w:rPr/>
      </w:pPr>
      <w:r>
        <w:rPr/>
        <w:t xml:space="preserve">      </w:t>
      </w:r>
      <w:r>
        <w:rPr/>
        <w:t>Na podstawie art. 18 ust. 2 pkt 15 ustawy z dnia 8 marca 1990 r. o samorządzie gminnym (Dz. U. z  2020 r. poz. 713 z późn.) oraz  4</w:t>
      </w:r>
      <w:r>
        <w:rPr>
          <w:vertAlign w:val="superscript"/>
        </w:rPr>
        <w:t xml:space="preserve">1   </w:t>
      </w:r>
      <w:r>
        <w:rPr/>
        <w:t>ust. 2 ustawy  z dnia 26 października 1982 r. o wychowaniu w trzeźwości i przeciwdziałaniu alkoholizmowi (Dz. U. z 2019 r.  poz. 2277 z późn.) oraz art. 10 ust. 3 ustawy z dnia 29 lipca 2005 r. o przeciwdziałaniu narkomanii (Dz. U. z 2019 r. poz. 852 z późn. zm.) Rada  Gminy Kamieniec Ząbkowicki uchwala, co następuje:</w:t>
      </w:r>
    </w:p>
    <w:p>
      <w:pPr>
        <w:pStyle w:val="NormalnyWeb"/>
        <w:jc w:val="both"/>
        <w:rPr/>
      </w:pPr>
      <w:r>
        <w:rPr/>
      </w:r>
    </w:p>
    <w:p>
      <w:pPr>
        <w:pStyle w:val="NormalnyWeb"/>
        <w:jc w:val="center"/>
        <w:rPr/>
      </w:pPr>
      <w:r>
        <w:rPr>
          <w:rStyle w:val="Mocnowyrniony"/>
        </w:rPr>
        <w:t>§ 1</w:t>
      </w:r>
    </w:p>
    <w:p>
      <w:pPr>
        <w:pStyle w:val="NormalnyWeb"/>
        <w:spacing w:before="0" w:after="0"/>
        <w:jc w:val="both"/>
        <w:rPr/>
      </w:pPr>
      <w:r>
        <w:rPr>
          <w:rStyle w:val="Mocnowyrniony"/>
          <w:b w:val="false"/>
        </w:rPr>
        <w:t xml:space="preserve">W uchwale nr XV/123/2020 Rady Gminy Kamieniec Ząbkowicki </w:t>
      </w:r>
      <w:r>
        <w:rPr>
          <w:b/>
        </w:rPr>
        <w:t>z</w:t>
      </w:r>
      <w:r>
        <w:rPr/>
        <w:t xml:space="preserve"> dnia 24 stycznia 2020 roku w sprawie przyjęcia Gminnego Programu Profilaktyki i Rozwiązywania Problemów Alkoholowych i Narkomanii na 2020 rok wprowadza się następujące zmiany:</w:t>
      </w:r>
    </w:p>
    <w:p>
      <w:pPr>
        <w:pStyle w:val="NormalnyWeb"/>
        <w:spacing w:before="0" w:after="0"/>
        <w:jc w:val="both"/>
        <w:rPr/>
      </w:pPr>
      <w:r>
        <w:rPr/>
        <w:t>- załącznik nr 1 do uchwały z dnia z 24 stycznia 2020 roku w sprawie przyjęcia Gminnego Programu Profilaktyki i Rozwiązywania Problemów Alkoholowych i Narkomanii na 2020 rok otrzymuje brzmienie określone w załączniku do niniejszej uchwały.</w:t>
      </w:r>
    </w:p>
    <w:p>
      <w:pPr>
        <w:pStyle w:val="NormalnyWeb"/>
        <w:jc w:val="center"/>
        <w:rPr/>
      </w:pPr>
      <w:r>
        <w:rPr>
          <w:rStyle w:val="Mocnowyrniony"/>
        </w:rPr>
        <w:t>§ 2</w:t>
      </w:r>
    </w:p>
    <w:p>
      <w:pPr>
        <w:pStyle w:val="NormalnyWeb"/>
        <w:rPr/>
      </w:pPr>
      <w:r>
        <w:rPr/>
        <w:t>Wykonanie uchwały powierza się Wójtowi Gminy Kamieniec Ząbkowicki. </w:t>
      </w:r>
    </w:p>
    <w:p>
      <w:pPr>
        <w:pStyle w:val="NormalnyWeb"/>
        <w:jc w:val="center"/>
        <w:rPr/>
      </w:pPr>
      <w:r>
        <w:rPr>
          <w:rStyle w:val="Mocnowyrniony"/>
        </w:rPr>
        <w:t>§ 3</w:t>
      </w:r>
    </w:p>
    <w:p>
      <w:pPr>
        <w:pStyle w:val="NormalnyWeb"/>
        <w:rPr/>
      </w:pPr>
      <w:r>
        <w:rPr/>
        <w:t>Uchwała wchodzi w życie z dniem podjęcia.</w:t>
      </w:r>
    </w:p>
    <w:p>
      <w:pPr>
        <w:pStyle w:val="NormalnyWeb"/>
        <w:rPr>
          <w:rFonts w:ascii="Arial" w:hAnsi="Arial" w:cs="Arial"/>
        </w:rPr>
      </w:pPr>
      <w:r>
        <w:rPr>
          <w:rFonts w:cs="Arial" w:ascii="Arial" w:hAnsi="Arial"/>
        </w:rPr>
      </w:r>
    </w:p>
    <w:p>
      <w:pPr>
        <w:pStyle w:val="NormalnyWeb"/>
        <w:rPr>
          <w:rFonts w:ascii="Arial" w:hAnsi="Arial" w:cs="Arial"/>
        </w:rPr>
      </w:pPr>
      <w:r>
        <w:rPr>
          <w:rFonts w:cs="Arial" w:ascii="Arial" w:hAnsi="Arial"/>
        </w:rPr>
      </w:r>
    </w:p>
    <w:p>
      <w:pPr>
        <w:pStyle w:val="NormalnyWeb"/>
        <w:rPr>
          <w:rFonts w:ascii="Arial" w:hAnsi="Arial" w:cs="Arial"/>
        </w:rPr>
      </w:pPr>
      <w:r>
        <w:rPr>
          <w:rFonts w:cs="Arial" w:ascii="Arial" w:hAnsi="Arial"/>
        </w:rPr>
      </w:r>
    </w:p>
    <w:p>
      <w:pPr>
        <w:pStyle w:val="NormalnyWeb"/>
        <w:rPr>
          <w:rFonts w:ascii="Arial" w:hAnsi="Arial" w:cs="Arial"/>
        </w:rPr>
      </w:pPr>
      <w:r>
        <w:rPr>
          <w:rFonts w:cs="Arial" w:ascii="Arial" w:hAnsi="Arial"/>
        </w:rPr>
      </w:r>
    </w:p>
    <w:p>
      <w:pPr>
        <w:pStyle w:val="NormalnyWeb"/>
        <w:rPr>
          <w:rFonts w:ascii="Arial" w:hAnsi="Arial" w:cs="Arial"/>
        </w:rPr>
      </w:pPr>
      <w:r>
        <w:rPr>
          <w:rFonts w:cs="Arial" w:ascii="Arial" w:hAnsi="Arial"/>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nyWeb"/>
        <w:rPr>
          <w:rFonts w:ascii="Arial" w:hAnsi="Arial" w:cs="Arial"/>
        </w:rPr>
      </w:pPr>
      <w:r>
        <w:rPr>
          <w:rFonts w:cs="Arial" w:ascii="Arial" w:hAnsi="Arial"/>
        </w:rPr>
      </w:r>
    </w:p>
    <w:p>
      <w:pPr>
        <w:pStyle w:val="Normal"/>
        <w:spacing w:lineRule="auto" w:line="360"/>
        <w:rPr/>
      </w:pPr>
      <w:r>
        <w:rPr/>
        <w:t xml:space="preserve">                                                                 </w:t>
      </w:r>
      <w:r>
        <w:rPr/>
        <w:t xml:space="preserve">Załącznik nr 1 do Uchwały </w:t>
      </w:r>
    </w:p>
    <w:p>
      <w:pPr>
        <w:pStyle w:val="Normal"/>
        <w:spacing w:lineRule="auto" w:line="360"/>
        <w:rPr/>
      </w:pPr>
      <w:r>
        <w:rPr/>
        <w:t xml:space="preserve">                                                                 </w:t>
      </w:r>
      <w:r>
        <w:rPr/>
        <w:t>Rady Gminy Kamieniec Ząbkowicki</w:t>
      </w:r>
    </w:p>
    <w:p>
      <w:pPr>
        <w:pStyle w:val="Normal"/>
        <w:spacing w:lineRule="auto" w:line="360"/>
        <w:ind w:right="-900" w:hanging="0"/>
        <w:rPr/>
      </w:pPr>
      <w:r>
        <w:rPr/>
        <w:t xml:space="preserve">                                                                 </w:t>
      </w:r>
      <w:r>
        <w:rPr/>
        <w:t xml:space="preserve">z dnia </w:t>
      </w:r>
    </w:p>
    <w:p>
      <w:pPr>
        <w:pStyle w:val="Normal"/>
        <w:spacing w:lineRule="auto" w:line="360"/>
        <w:ind w:right="-900" w:hanging="0"/>
        <w:rPr/>
      </w:pPr>
      <w:r>
        <w:rPr/>
      </w:r>
    </w:p>
    <w:p>
      <w:pPr>
        <w:pStyle w:val="Normal"/>
        <w:spacing w:lineRule="auto" w:line="360"/>
        <w:ind w:right="-900" w:hanging="0"/>
        <w:rPr/>
      </w:pPr>
      <w:r>
        <w:rPr/>
      </w:r>
    </w:p>
    <w:p>
      <w:pPr>
        <w:pStyle w:val="Normal"/>
        <w:jc w:val="center"/>
        <w:rPr/>
      </w:pPr>
      <w:r>
        <w:rPr/>
      </w:r>
    </w:p>
    <w:p>
      <w:pPr>
        <w:pStyle w:val="Normal"/>
        <w:jc w:val="center"/>
        <w:rPr>
          <w:lang w:val="pl-PL" w:eastAsia="pl-PL"/>
        </w:rPr>
      </w:pPr>
      <w:r>
        <w:rPr>
          <w:lang w:val="pl-PL" w:eastAsia="pl-PL"/>
        </w:rPr>
        <w:drawing>
          <wp:anchor behindDoc="0" distT="0" distB="0" distL="114935" distR="114935" simplePos="0" locked="0" layoutInCell="1" allowOverlap="1" relativeHeight="2">
            <wp:simplePos x="0" y="0"/>
            <wp:positionH relativeFrom="column">
              <wp:posOffset>1943100</wp:posOffset>
            </wp:positionH>
            <wp:positionV relativeFrom="paragraph">
              <wp:posOffset>-3810</wp:posOffset>
            </wp:positionV>
            <wp:extent cx="1600200" cy="1600200"/>
            <wp:effectExtent l="0" t="0" r="0" b="0"/>
            <wp:wrapNone/>
            <wp:docPr id="1" name="Obraz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7" descr=""/>
                    <pic:cNvPicPr>
                      <a:picLocks noChangeAspect="1" noChangeArrowheads="1"/>
                    </pic:cNvPicPr>
                  </pic:nvPicPr>
                  <pic:blipFill>
                    <a:blip r:embed="rId2"/>
                    <a:srcRect l="-3" t="-3" r="-3" b="-3"/>
                    <a:stretch>
                      <a:fillRect/>
                    </a:stretch>
                  </pic:blipFill>
                  <pic:spPr bwMode="auto">
                    <a:xfrm>
                      <a:off x="0" y="0"/>
                      <a:ext cx="1600200" cy="1600200"/>
                    </a:xfrm>
                    <a:prstGeom prst="rect">
                      <a:avLst/>
                    </a:prstGeom>
                  </pic:spPr>
                </pic:pic>
              </a:graphicData>
            </a:graphic>
          </wp:anchor>
        </w:drawing>
      </w:r>
    </w:p>
    <w:p>
      <w:pPr>
        <w:pStyle w:val="Normal"/>
        <w:spacing w:lineRule="auto" w:line="360"/>
        <w:ind w:right="-900" w:hanging="0"/>
        <w:rPr/>
      </w:pPr>
      <w:r>
        <w:rPr/>
      </w:r>
    </w:p>
    <w:p>
      <w:pPr>
        <w:pStyle w:val="Normal"/>
        <w:spacing w:lineRule="auto" w:line="360"/>
        <w:ind w:right="-900" w:hanging="0"/>
        <w:jc w:val="center"/>
        <w:rPr/>
      </w:pPr>
      <w:r>
        <w:rPr/>
      </w:r>
    </w:p>
    <w:p>
      <w:pPr>
        <w:pStyle w:val="Normal"/>
        <w:spacing w:lineRule="auto" w:line="360"/>
        <w:ind w:right="-900" w:hanging="0"/>
        <w:jc w:val="center"/>
        <w:rPr>
          <w:b/>
          <w:b/>
          <w:sz w:val="44"/>
          <w:szCs w:val="44"/>
        </w:rPr>
      </w:pPr>
      <w:r>
        <w:rPr>
          <w:b/>
          <w:sz w:val="44"/>
          <w:szCs w:val="44"/>
        </w:rPr>
      </w:r>
    </w:p>
    <w:p>
      <w:pPr>
        <w:pStyle w:val="Normal"/>
        <w:spacing w:lineRule="auto" w:line="360"/>
        <w:ind w:right="-900" w:hanging="0"/>
        <w:jc w:val="center"/>
        <w:rPr>
          <w:b/>
          <w:b/>
          <w:sz w:val="44"/>
          <w:szCs w:val="44"/>
        </w:rPr>
      </w:pPr>
      <w:r>
        <w:rPr>
          <w:b/>
          <w:sz w:val="44"/>
          <w:szCs w:val="44"/>
        </w:rPr>
      </w:r>
    </w:p>
    <w:p>
      <w:pPr>
        <w:pStyle w:val="Normal"/>
        <w:spacing w:lineRule="auto" w:line="360"/>
        <w:ind w:right="-900" w:hanging="0"/>
        <w:jc w:val="center"/>
        <w:rPr>
          <w:b/>
          <w:b/>
          <w:sz w:val="44"/>
          <w:szCs w:val="44"/>
        </w:rPr>
      </w:pPr>
      <w:r>
        <w:rPr>
          <w:b/>
          <w:sz w:val="44"/>
          <w:szCs w:val="44"/>
        </w:rPr>
      </w:r>
    </w:p>
    <w:p>
      <w:pPr>
        <w:pStyle w:val="Normal"/>
        <w:spacing w:lineRule="auto" w:line="360"/>
        <w:ind w:right="-900" w:hanging="0"/>
        <w:jc w:val="center"/>
        <w:rPr/>
      </w:pPr>
      <w:r>
        <w:rPr>
          <w:b/>
          <w:sz w:val="44"/>
          <w:szCs w:val="44"/>
        </w:rPr>
        <w:t>GMINNY PROGRAM</w:t>
      </w:r>
    </w:p>
    <w:p>
      <w:pPr>
        <w:pStyle w:val="Normal"/>
        <w:spacing w:lineRule="auto" w:line="360"/>
        <w:ind w:right="-900" w:hanging="0"/>
        <w:jc w:val="center"/>
        <w:rPr/>
      </w:pPr>
      <w:r>
        <w:rPr>
          <w:b/>
          <w:sz w:val="44"/>
          <w:szCs w:val="44"/>
        </w:rPr>
        <w:t>PROFILAKTYKI I ROZWIĄZYWANIA</w:t>
      </w:r>
    </w:p>
    <w:p>
      <w:pPr>
        <w:pStyle w:val="Normal"/>
        <w:spacing w:lineRule="auto" w:line="360"/>
        <w:ind w:left="-360" w:right="-900" w:hanging="0"/>
        <w:jc w:val="center"/>
        <w:rPr/>
      </w:pPr>
      <w:r>
        <w:rPr>
          <w:b/>
          <w:sz w:val="44"/>
          <w:szCs w:val="44"/>
        </w:rPr>
        <w:t>PROBLEMÓW ALKOHOLOWYCH   I NARKOMANII NA TERENIE</w:t>
      </w:r>
    </w:p>
    <w:p>
      <w:pPr>
        <w:pStyle w:val="Normal"/>
        <w:spacing w:lineRule="auto" w:line="360"/>
        <w:ind w:left="-360" w:right="-900" w:hanging="0"/>
        <w:jc w:val="center"/>
        <w:rPr>
          <w:b/>
          <w:b/>
          <w:sz w:val="44"/>
          <w:szCs w:val="44"/>
        </w:rPr>
      </w:pPr>
      <w:r>
        <w:rPr>
          <w:b/>
          <w:sz w:val="44"/>
          <w:szCs w:val="44"/>
        </w:rPr>
        <w:t>GMINY KAMIENIEC ZĄBKOWICKI</w:t>
      </w:r>
    </w:p>
    <w:p>
      <w:pPr>
        <w:pStyle w:val="Normal"/>
        <w:spacing w:lineRule="auto" w:line="360"/>
        <w:ind w:left="-360" w:right="-900" w:hanging="0"/>
        <w:jc w:val="center"/>
        <w:rPr/>
      </w:pPr>
      <w:r>
        <w:rPr>
          <w:b/>
          <w:sz w:val="44"/>
          <w:szCs w:val="44"/>
        </w:rPr>
        <w:t>NA 2020 ROK</w:t>
      </w:r>
    </w:p>
    <w:p>
      <w:pPr>
        <w:pStyle w:val="Normal"/>
        <w:spacing w:lineRule="auto" w:line="360"/>
        <w:jc w:val="center"/>
        <w:rPr>
          <w:b/>
          <w:b/>
          <w:sz w:val="44"/>
          <w:szCs w:val="44"/>
        </w:rPr>
      </w:pPr>
      <w:r>
        <w:rPr>
          <w:b/>
          <w:sz w:val="44"/>
          <w:szCs w:val="44"/>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b/>
          <w:b/>
        </w:rPr>
      </w:pPr>
      <w:r>
        <w:rPr>
          <w:b/>
        </w:rPr>
      </w:r>
    </w:p>
    <w:p>
      <w:pPr>
        <w:pStyle w:val="Normal"/>
        <w:jc w:val="center"/>
        <w:rPr>
          <w:b/>
          <w:b/>
        </w:rPr>
      </w:pPr>
      <w:r>
        <w:rPr>
          <w:b/>
        </w:rPr>
      </w:r>
    </w:p>
    <w:p>
      <w:pPr>
        <w:pStyle w:val="Normal"/>
        <w:rPr>
          <w:b/>
          <w:b/>
        </w:rPr>
      </w:pPr>
      <w:r>
        <w:rPr>
          <w:b/>
        </w:rPr>
      </w:r>
    </w:p>
    <w:p>
      <w:pPr>
        <w:pStyle w:val="Normal"/>
        <w:rPr/>
      </w:pPr>
      <w:r>
        <w:rPr>
          <w:b/>
          <w:sz w:val="26"/>
          <w:szCs w:val="26"/>
        </w:rPr>
        <w:t>I. PODSTAWA PRAWNA PROGRAMU:</w:t>
      </w:r>
    </w:p>
    <w:p>
      <w:pPr>
        <w:pStyle w:val="Normal"/>
        <w:jc w:val="both"/>
        <w:rPr>
          <w:b/>
          <w:b/>
          <w:sz w:val="26"/>
          <w:szCs w:val="26"/>
        </w:rPr>
      </w:pPr>
      <w:r>
        <w:rPr>
          <w:b/>
          <w:sz w:val="26"/>
          <w:szCs w:val="26"/>
        </w:rPr>
      </w:r>
    </w:p>
    <w:p>
      <w:pPr>
        <w:pStyle w:val="Normal"/>
        <w:numPr>
          <w:ilvl w:val="0"/>
          <w:numId w:val="4"/>
        </w:numPr>
        <w:jc w:val="both"/>
        <w:rPr>
          <w:sz w:val="24"/>
          <w:szCs w:val="24"/>
        </w:rPr>
      </w:pPr>
      <w:r>
        <w:rPr>
          <w:sz w:val="24"/>
          <w:szCs w:val="24"/>
        </w:rPr>
        <w:t>Ustawa z dnia 26 października 1982 r. o wychowaniu w trzeźwości i przeciwdziałaniu alkoholizmowi (tekst jednolity: Dz. U. z 2019 r.  poz. 2277 ze zm.);</w:t>
      </w:r>
    </w:p>
    <w:p>
      <w:pPr>
        <w:pStyle w:val="Normal"/>
        <w:numPr>
          <w:ilvl w:val="0"/>
          <w:numId w:val="4"/>
        </w:numPr>
        <w:jc w:val="both"/>
        <w:rPr>
          <w:sz w:val="24"/>
          <w:szCs w:val="24"/>
        </w:rPr>
      </w:pPr>
      <w:r>
        <w:rPr>
          <w:sz w:val="24"/>
          <w:szCs w:val="24"/>
        </w:rPr>
        <w:t>Ustawa z 29 lipca 2005 r. o przeciwdziałaniu narkomanii (tekst jednolity: Dz. U. z 2019 r. poz. 852 ze zm.);</w:t>
      </w:r>
    </w:p>
    <w:p>
      <w:pPr>
        <w:pStyle w:val="Normal"/>
        <w:numPr>
          <w:ilvl w:val="0"/>
          <w:numId w:val="4"/>
        </w:numPr>
        <w:jc w:val="both"/>
        <w:rPr>
          <w:sz w:val="24"/>
          <w:szCs w:val="24"/>
        </w:rPr>
      </w:pPr>
      <w:r>
        <w:rPr>
          <w:sz w:val="24"/>
          <w:szCs w:val="24"/>
        </w:rPr>
        <w:t>Ustawa z dnia 11 września 2015 r. o zdrowiu publicznym (tekst jednolity: Dz. U. z 2019 r. poz. 2365 ze zm.);</w:t>
      </w:r>
    </w:p>
    <w:p>
      <w:pPr>
        <w:pStyle w:val="Normal"/>
        <w:numPr>
          <w:ilvl w:val="0"/>
          <w:numId w:val="4"/>
        </w:numPr>
        <w:jc w:val="both"/>
        <w:rPr>
          <w:sz w:val="24"/>
          <w:szCs w:val="24"/>
        </w:rPr>
      </w:pPr>
      <w:r>
        <w:rPr>
          <w:sz w:val="24"/>
          <w:szCs w:val="24"/>
        </w:rPr>
        <w:t>Rozporządzenie Rady Ministrów z dnia 4 sierpnia 2016 r. w sprawie Narodowego Programu Zdrowia na lata 2016-2020 (Dz. U. z 2016 r. poz. 1492 ze zm.).</w:t>
      </w:r>
    </w:p>
    <w:p>
      <w:pPr>
        <w:pStyle w:val="Normal"/>
        <w:jc w:val="both"/>
        <w:rPr>
          <w:sz w:val="26"/>
          <w:szCs w:val="26"/>
        </w:rPr>
      </w:pPr>
      <w:r>
        <w:rPr>
          <w:sz w:val="26"/>
          <w:szCs w:val="26"/>
        </w:rPr>
      </w:r>
    </w:p>
    <w:p>
      <w:pPr>
        <w:pStyle w:val="Normal"/>
        <w:jc w:val="both"/>
        <w:rPr/>
      </w:pPr>
      <w:r>
        <w:rPr>
          <w:b/>
          <w:sz w:val="26"/>
          <w:szCs w:val="26"/>
        </w:rPr>
        <w:t>II. REALIZATOR PROGRAMU:</w:t>
      </w:r>
    </w:p>
    <w:p>
      <w:pPr>
        <w:pStyle w:val="Normal"/>
        <w:jc w:val="both"/>
        <w:rPr>
          <w:b/>
          <w:b/>
          <w:sz w:val="26"/>
          <w:szCs w:val="26"/>
        </w:rPr>
      </w:pPr>
      <w:r>
        <w:rPr>
          <w:b/>
          <w:sz w:val="26"/>
          <w:szCs w:val="26"/>
        </w:rPr>
      </w:r>
    </w:p>
    <w:p>
      <w:pPr>
        <w:pStyle w:val="Normal"/>
        <w:numPr>
          <w:ilvl w:val="0"/>
          <w:numId w:val="3"/>
        </w:numPr>
        <w:jc w:val="both"/>
        <w:rPr>
          <w:sz w:val="24"/>
          <w:szCs w:val="24"/>
        </w:rPr>
      </w:pPr>
      <w:r>
        <w:rPr>
          <w:sz w:val="24"/>
          <w:szCs w:val="24"/>
        </w:rPr>
        <w:t xml:space="preserve">Gminny Program Profilaktyki i Rozwiązywania Problemów Alkoholowych i Narkomanii realizowany jest przy współudziale Policji, Szkół i Przedszkoli z terenu Gminy Kamieniec Ząbkowicki, Opiekunów Świetlic Wiejskich i innych podmiotów wymienionych w punkcie III niniejszego Programu.  </w:t>
      </w:r>
    </w:p>
    <w:p>
      <w:pPr>
        <w:pStyle w:val="Normal"/>
        <w:numPr>
          <w:ilvl w:val="0"/>
          <w:numId w:val="3"/>
        </w:numPr>
        <w:jc w:val="both"/>
        <w:rPr>
          <w:sz w:val="24"/>
          <w:szCs w:val="24"/>
        </w:rPr>
      </w:pPr>
      <w:r>
        <w:rPr>
          <w:sz w:val="24"/>
          <w:szCs w:val="24"/>
        </w:rPr>
        <w:t>Program dostosowany jest do specyfiki problemów uzależnień w Gminie Kamieniec Ząbkowicki i uwzględnia lokalne możliwości realizacji. Do opracowania programu posłużyły wyniki Diagnozy Problemów społecznych na terenie Gminy Kamieniec Ząbkowicki, która została przeprowadzona przez profesjonalną firmę w roku 2019.</w:t>
      </w:r>
    </w:p>
    <w:p>
      <w:pPr>
        <w:pStyle w:val="Normal"/>
        <w:numPr>
          <w:ilvl w:val="0"/>
          <w:numId w:val="3"/>
        </w:numPr>
        <w:jc w:val="both"/>
        <w:rPr>
          <w:sz w:val="24"/>
          <w:szCs w:val="24"/>
        </w:rPr>
      </w:pPr>
      <w:r>
        <w:rPr>
          <w:sz w:val="24"/>
          <w:szCs w:val="24"/>
        </w:rPr>
        <w:t xml:space="preserve">Program uwzględnia aspekt profilaktyczny i opiera się na wiedzy dotyczącej przeciwdziałaniu zagrożeniom uzależnień oraz redukcji szkód społecznych spowodowanych uzależnieniem od alkoholu, narkotyków i współuzależnieniem. Zadania przewidziane do realizacji, zapisane w przedmiotowym programie są kontynuacją działalności prowadzonej w latach ubiegłych. Doświadczenia zdobyte podczas dotychczasowej realizacji pozwalają na dokładniejsze poznanie środowiska lokalnego.   </w:t>
      </w:r>
    </w:p>
    <w:p>
      <w:pPr>
        <w:pStyle w:val="Normal"/>
        <w:numPr>
          <w:ilvl w:val="0"/>
          <w:numId w:val="3"/>
        </w:numPr>
        <w:jc w:val="both"/>
        <w:rPr>
          <w:sz w:val="24"/>
          <w:szCs w:val="24"/>
        </w:rPr>
      </w:pPr>
      <w:r>
        <w:rPr>
          <w:sz w:val="24"/>
          <w:szCs w:val="24"/>
        </w:rPr>
        <w:t>Podstawowymi wskaźnikami efektywności gminnego programu będzie:</w:t>
      </w:r>
    </w:p>
    <w:p>
      <w:pPr>
        <w:pStyle w:val="Normal"/>
        <w:numPr>
          <w:ilvl w:val="1"/>
          <w:numId w:val="3"/>
        </w:numPr>
        <w:jc w:val="both"/>
        <w:rPr>
          <w:sz w:val="24"/>
          <w:szCs w:val="24"/>
        </w:rPr>
      </w:pPr>
      <w:r>
        <w:rPr>
          <w:sz w:val="24"/>
          <w:szCs w:val="24"/>
        </w:rPr>
        <w:t>ilość osób uczestniczących w programach profilaktycznych;</w:t>
      </w:r>
    </w:p>
    <w:p>
      <w:pPr>
        <w:pStyle w:val="Normal"/>
        <w:numPr>
          <w:ilvl w:val="1"/>
          <w:numId w:val="3"/>
        </w:numPr>
        <w:jc w:val="both"/>
        <w:rPr>
          <w:sz w:val="24"/>
          <w:szCs w:val="24"/>
        </w:rPr>
      </w:pPr>
      <w:r>
        <w:rPr>
          <w:sz w:val="24"/>
          <w:szCs w:val="24"/>
        </w:rPr>
        <w:t>ilość osób korzystających z usług Punktu Konsultacyjnego;</w:t>
      </w:r>
    </w:p>
    <w:p>
      <w:pPr>
        <w:pStyle w:val="Normal"/>
        <w:numPr>
          <w:ilvl w:val="1"/>
          <w:numId w:val="3"/>
        </w:numPr>
        <w:jc w:val="both"/>
        <w:rPr>
          <w:sz w:val="24"/>
          <w:szCs w:val="24"/>
        </w:rPr>
      </w:pPr>
      <w:r>
        <w:rPr>
          <w:sz w:val="24"/>
          <w:szCs w:val="24"/>
        </w:rPr>
        <w:t xml:space="preserve">ilość osób korzystających z usług leczniczych w zakresie sprawowania opieki nad uzależnionymi od alkoholu, alkoholu i innych substancji psychoaktywnych, a także członków tych rodzin.   </w:t>
      </w:r>
    </w:p>
    <w:p>
      <w:pPr>
        <w:pStyle w:val="Normal"/>
        <w:numPr>
          <w:ilvl w:val="1"/>
          <w:numId w:val="3"/>
        </w:numPr>
        <w:jc w:val="both"/>
        <w:rPr>
          <w:sz w:val="24"/>
          <w:szCs w:val="24"/>
        </w:rPr>
      </w:pPr>
      <w:r>
        <w:rPr>
          <w:sz w:val="24"/>
          <w:szCs w:val="24"/>
        </w:rPr>
        <w:t>ilość osób, które w związku z nadużywaniem alkoholu zostały skierowane do Komisji Rozwiązywania Problemów Alkoholowych.</w:t>
      </w:r>
    </w:p>
    <w:p>
      <w:pPr>
        <w:pStyle w:val="Normal"/>
        <w:numPr>
          <w:ilvl w:val="0"/>
          <w:numId w:val="3"/>
        </w:numPr>
        <w:jc w:val="both"/>
        <w:rPr>
          <w:sz w:val="24"/>
          <w:szCs w:val="24"/>
        </w:rPr>
      </w:pPr>
      <w:r>
        <w:rPr>
          <w:sz w:val="24"/>
          <w:szCs w:val="24"/>
        </w:rPr>
        <w:t>W Gminie Kamieniec Ząbkowicki działa Gminna Komisja ds. Rozwiązywania Problemów Alkoholowych powołana na zasadach określonych w ustawie z dnia 26 października 1982 r. o wychowaniu w trzeźwości i przeciwdziałaniu alkoholizmowi.</w:t>
      </w:r>
    </w:p>
    <w:p>
      <w:pPr>
        <w:pStyle w:val="Normal"/>
        <w:numPr>
          <w:ilvl w:val="0"/>
          <w:numId w:val="3"/>
        </w:numPr>
        <w:jc w:val="both"/>
        <w:rPr>
          <w:sz w:val="24"/>
          <w:szCs w:val="24"/>
        </w:rPr>
      </w:pPr>
      <w:r>
        <w:rPr>
          <w:sz w:val="24"/>
          <w:szCs w:val="24"/>
        </w:rPr>
        <w:t xml:space="preserve">Za udział w posiedzeniu oraz innych pracach Komisji jej członkom przysługuje wynagrodzenie w wysokości 9% minimalnego wynagrodzenia za pracę określonego na mocy obwieszczenia Prezesa Rady Ministrów w sprawie minimalnego wynagrodzenia za pracę. </w:t>
      </w:r>
    </w:p>
    <w:p>
      <w:pPr>
        <w:pStyle w:val="Normal"/>
        <w:numPr>
          <w:ilvl w:val="0"/>
          <w:numId w:val="3"/>
        </w:numPr>
        <w:jc w:val="both"/>
        <w:rPr>
          <w:rFonts w:ascii="Times New Roman" w:hAnsi="Times New Roman"/>
          <w:sz w:val="24"/>
          <w:szCs w:val="24"/>
        </w:rPr>
      </w:pPr>
      <w:r>
        <w:rPr>
          <w:rFonts w:ascii="Times New Roman" w:hAnsi="Times New Roman"/>
          <w:sz w:val="24"/>
          <w:szCs w:val="24"/>
        </w:rPr>
        <w:t>Gminny Program Profilaktyki i Rozwiązywania Problemów Alkoholowych będzie finansowany z budżetu Gminy Kamieniec Ząbkowicki.</w:t>
      </w:r>
    </w:p>
    <w:p>
      <w:pPr>
        <w:pStyle w:val="Normal"/>
        <w:numPr>
          <w:ilvl w:val="0"/>
          <w:numId w:val="3"/>
        </w:numPr>
        <w:jc w:val="both"/>
        <w:rPr>
          <w:rFonts w:ascii="Times New Roman" w:hAnsi="Times New Roman"/>
          <w:sz w:val="24"/>
          <w:szCs w:val="24"/>
        </w:rPr>
      </w:pPr>
      <w:r>
        <w:rPr>
          <w:rFonts w:ascii="Times New Roman" w:hAnsi="Times New Roman"/>
          <w:sz w:val="24"/>
          <w:szCs w:val="24"/>
        </w:rPr>
        <w:t>W celu jak najlepszego wykorzystania środków Gminna Komisja ds. Rozwiązywania Problemów Alkoholowych opracuje szczegółowy preliminarz wydatków na 2020 rok w oparciu o program, który będzie podlegał zatwierdzeniu przez Wójta Gminy Kamieniec Ząbkowicki.</w:t>
      </w:r>
    </w:p>
    <w:p>
      <w:pPr>
        <w:pStyle w:val="Normal"/>
        <w:numPr>
          <w:ilvl w:val="0"/>
          <w:numId w:val="3"/>
        </w:numPr>
        <w:jc w:val="both"/>
        <w:rPr>
          <w:rFonts w:ascii="Times New Roman" w:hAnsi="Times New Roman"/>
          <w:sz w:val="24"/>
          <w:szCs w:val="24"/>
        </w:rPr>
      </w:pPr>
      <w:r>
        <w:rPr>
          <w:rFonts w:ascii="Times New Roman" w:hAnsi="Times New Roman"/>
          <w:sz w:val="24"/>
          <w:szCs w:val="24"/>
        </w:rPr>
        <w:t xml:space="preserve">Cele Gminnego Programu Profilaktyki i Rozwiązywania Problemów Alkoholowych będą realizowane, zgodnie z zapisami w Narodowym Programie Zdrowia na lata 2016-2020, z uwzględnieniem koniczności zapewnienia dostępności, zgodnie z koncepcją projektowania uniwersalnego, określoną w art. 2 Konwencji o prawach osób niepełnosprawnych, sporządzonej w Nowym Jorku dnia 13 grudnia 2006 r. (Dz. U. z 2012 r. poz. 1169), oraz potrzebami osób z różnymi niepełnosprawnościami.  </w:t>
      </w:r>
    </w:p>
    <w:p>
      <w:pPr>
        <w:pStyle w:val="Normal"/>
        <w:numPr>
          <w:ilvl w:val="0"/>
          <w:numId w:val="3"/>
        </w:numPr>
        <w:jc w:val="both"/>
        <w:rPr>
          <w:rFonts w:ascii="Times New Roman" w:hAnsi="Times New Roman"/>
          <w:sz w:val="24"/>
          <w:szCs w:val="24"/>
        </w:rPr>
      </w:pPr>
      <w:r>
        <w:rPr>
          <w:rFonts w:ascii="Times New Roman" w:hAnsi="Times New Roman"/>
          <w:sz w:val="24"/>
          <w:szCs w:val="24"/>
        </w:rPr>
        <w:t xml:space="preserve">Gminny Program Profilaktyk i Rozwiązywania Problemów Alkoholowych i Narkomanii jest kontynuacją wielu działań inicjowanych i realizowanych w latach poprzednich. Jego nadrzędnym celem jest tworzenie spójnego i zintegrowanego systemu działań profilaktycznych i naprawczych w gminie. </w:t>
      </w:r>
    </w:p>
    <w:p>
      <w:pPr>
        <w:pStyle w:val="Normal"/>
        <w:numPr>
          <w:ilvl w:val="0"/>
          <w:numId w:val="3"/>
        </w:numPr>
        <w:jc w:val="both"/>
        <w:rPr>
          <w:rFonts w:ascii="Times New Roman" w:hAnsi="Times New Roman" w:cs="Arial"/>
          <w:sz w:val="24"/>
          <w:szCs w:val="24"/>
        </w:rPr>
      </w:pPr>
      <w:r>
        <w:rPr>
          <w:rFonts w:cs="Arial" w:ascii="Times New Roman" w:hAnsi="Times New Roman"/>
          <w:sz w:val="24"/>
          <w:szCs w:val="24"/>
        </w:rPr>
        <w:t xml:space="preserve">Gminny Program Profilaktyk i Rozwiązywania Problemów Alkoholowych i Narkomanii, w swej konstrukcji merytorycznej, jest tożsamy z założeniami wynikającymi z „Rekomendacji do realizowania i finansowania gminnych programów profilaktyki i rozwiązywania problemów alkoholowych w 2020 r.” Państwowej Agencji Rozwiązywania Problemów alkoholowych. </w:t>
      </w:r>
    </w:p>
    <w:p>
      <w:pPr>
        <w:pStyle w:val="NormalnyWeb"/>
        <w:rPr>
          <w:rFonts w:ascii="Arial" w:hAnsi="Arial" w:cs="Arial"/>
        </w:rPr>
      </w:pPr>
      <w:r>
        <w:rPr>
          <w:rFonts w:cs="Arial" w:ascii="Arial" w:hAnsi="Arial"/>
        </w:rPr>
      </w:r>
    </w:p>
    <w:p>
      <w:pPr>
        <w:pStyle w:val="NormalnyWeb"/>
        <w:jc w:val="both"/>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7</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nyWeb"/>
        <w:spacing w:before="0" w:after="280"/>
        <w:jc w:val="center"/>
        <w:rPr>
          <w:rStyle w:val="Mocnowyrniony"/>
        </w:rPr>
      </w:pPr>
      <w:r>
        <w:rPr/>
      </w:r>
    </w:p>
    <w:p>
      <w:pPr>
        <w:pStyle w:val="NormalnyWeb"/>
        <w:spacing w:before="0" w:after="280"/>
        <w:jc w:val="center"/>
        <w:rPr/>
      </w:pPr>
      <w:r>
        <w:rPr>
          <w:rStyle w:val="Mocnowyrniony"/>
        </w:rPr>
        <w:t>UCHWAŁA NR ………………</w:t>
      </w:r>
      <w:r>
        <w:rPr>
          <w:b/>
          <w:bCs/>
        </w:rPr>
        <w:br/>
      </w:r>
      <w:r>
        <w:rPr>
          <w:rStyle w:val="Mocnowyrniony"/>
        </w:rPr>
        <w:t>RADY GMINY  KAMIENIEC ZĄBKOWICKI</w:t>
      </w:r>
      <w:r>
        <w:rPr/>
        <w:br/>
        <w:t>z dnia …………….</w:t>
      </w:r>
    </w:p>
    <w:p>
      <w:pPr>
        <w:pStyle w:val="NormalnyWeb"/>
        <w:jc w:val="center"/>
        <w:rPr/>
      </w:pPr>
      <w:r>
        <w:rPr>
          <w:rStyle w:val="Mocnowyrniony"/>
        </w:rPr>
        <w:t>w sprawie utworzenia placówki wsparcia dziennego</w:t>
      </w:r>
    </w:p>
    <w:p>
      <w:pPr>
        <w:pStyle w:val="NormalnyWeb"/>
        <w:jc w:val="both"/>
        <w:rPr/>
      </w:pPr>
      <w:r>
        <w:rPr/>
        <w:t>Na podstawie art. 7 ust. 1 pkt 6a, art. 9 ust. 1 i art. 18 ust. 2 pkt 9 lit. h ustawy z dnia 8 marca 1990 r. o samorządzie gminnym (Dz. U. z 2020 r. poz. 713) oraz art. 2 ust. 3, art. 18 ust. 2, art. 18c ust. 1, art. 24ust. 1 pkt 1, art. 176 pkt 3 lit c ustawy z dnia 9 czerwca 2011 r. o wspieraniu rodziny i systemie pieczy zastępczej (Dz. U. z 2020 r. poz. 821 ze zm.) Rada Gminy Kamieniec Ząbkowicki uchwala, co następuje:</w:t>
      </w:r>
    </w:p>
    <w:p>
      <w:pPr>
        <w:pStyle w:val="NormalnyWeb"/>
        <w:spacing w:before="0" w:after="0"/>
        <w:jc w:val="both"/>
        <w:rPr/>
      </w:pPr>
      <w:r>
        <w:rPr/>
        <w:br/>
        <w:t>§1. W celu wykonywania zadań własnych gminy w zakresie pomocy w opiece i wychowaniu dziecka tworzy się placówkę wsparcia dziennego prowadzoną w formie opiekuńczej pod nazwą: świetlica środowiskowa w Kamieńcu Ząbkowickim II.</w:t>
      </w:r>
    </w:p>
    <w:p>
      <w:pPr>
        <w:pStyle w:val="NormalnyWeb"/>
        <w:spacing w:before="0" w:after="0"/>
        <w:jc w:val="both"/>
        <w:rPr/>
      </w:pPr>
      <w:r>
        <w:rPr/>
        <w:br/>
        <w:t>§2. Placówka przeznaczona jest dla dzieci i młodzieży w szczególności z rodzin przeżywających trudności w pełnieniu funkcji opiekuńczo-wychowawczych.</w:t>
      </w:r>
    </w:p>
    <w:p>
      <w:pPr>
        <w:pStyle w:val="NormalnyWeb"/>
        <w:spacing w:before="0" w:after="0"/>
        <w:jc w:val="both"/>
        <w:rPr/>
      </w:pPr>
      <w:r>
        <w:rPr/>
        <w:br/>
        <w:t>§3. Szczegółowe zadania oraz organizację placówki określa regulamin placówki zatwierdzony przez Kierownika  Gminnego Ośrodka Pomocy Społecznej w Kamieńcu Ząbkowickim.</w:t>
      </w:r>
    </w:p>
    <w:p>
      <w:pPr>
        <w:pStyle w:val="NormalnyWeb"/>
        <w:spacing w:before="0" w:after="0"/>
        <w:jc w:val="both"/>
        <w:rPr/>
      </w:pPr>
      <w:r>
        <w:rPr/>
        <w:br/>
        <w:t>§4.Źródłem pokrycia zobowiązań finansowych placówki będą:</w:t>
      </w:r>
    </w:p>
    <w:p>
      <w:pPr>
        <w:pStyle w:val="NormalnyWeb"/>
        <w:spacing w:before="0" w:after="0"/>
        <w:jc w:val="both"/>
        <w:rPr/>
      </w:pPr>
      <w:r>
        <w:rPr/>
        <w:br/>
        <w:t>1) dochody własne gminy przeznaczone na realizację zadań własnych w zakresie wspierania rodziny systemu pieczy zastępczej;</w:t>
      </w:r>
    </w:p>
    <w:p>
      <w:pPr>
        <w:pStyle w:val="NormalnyWeb"/>
        <w:spacing w:before="0" w:after="0"/>
        <w:jc w:val="both"/>
        <w:rPr/>
      </w:pPr>
      <w:r>
        <w:rPr/>
        <w:br/>
        <w:t>2) środki z Gminnego Programu Profilaktyki i Rozwiązywania Problemów Alkoholowych i Narkomanii;</w:t>
      </w:r>
    </w:p>
    <w:p>
      <w:pPr>
        <w:pStyle w:val="NormalnyWeb"/>
        <w:spacing w:before="0" w:after="0"/>
        <w:jc w:val="both"/>
        <w:rPr/>
      </w:pPr>
      <w:r>
        <w:rPr/>
        <w:br/>
        <w:t>3) dotacje celowe z budżetu państwa na dofinansowanie zadań własnych w zakresie wspierania rodziny i systemu pieczy zastępczej;</w:t>
      </w:r>
    </w:p>
    <w:p>
      <w:pPr>
        <w:pStyle w:val="NormalnyWeb"/>
        <w:spacing w:before="0" w:after="0"/>
        <w:jc w:val="both"/>
        <w:rPr/>
      </w:pPr>
      <w:r>
        <w:rPr/>
        <w:br/>
        <w:t>4) zewnętrzne źródła finansowania.</w:t>
      </w:r>
    </w:p>
    <w:p>
      <w:pPr>
        <w:pStyle w:val="NormalnyWeb"/>
        <w:spacing w:before="0" w:after="0"/>
        <w:jc w:val="both"/>
        <w:rPr/>
      </w:pPr>
      <w:r>
        <w:rPr/>
        <w:br/>
        <w:t>§5. Placówkę wsparcia dziennego łączy się z Gminnym Ośrodkiem Pomocy Społecznej w Kamieńcu Ząbkowickim i działa ona w strukturze organizacyjnej tego Ośrodka w formie świetlicy.</w:t>
      </w:r>
    </w:p>
    <w:p>
      <w:pPr>
        <w:pStyle w:val="NormalnyWeb"/>
        <w:spacing w:before="0" w:after="0"/>
        <w:jc w:val="both"/>
        <w:rPr/>
      </w:pPr>
      <w:r>
        <w:rPr/>
        <w:br/>
        <w:t>§6. Wykonanie uchwały powierza się Wójtowi Gminy Kamieniec Ząbkowicki.</w:t>
      </w:r>
    </w:p>
    <w:p>
      <w:pPr>
        <w:pStyle w:val="NormalnyWeb"/>
        <w:spacing w:before="0" w:after="0"/>
        <w:jc w:val="both"/>
        <w:rPr/>
      </w:pPr>
      <w:r>
        <w:rPr/>
        <w:br/>
        <w:t>§7. Uchwała wchodzi w życie po upływie 14 dni od dnia ogłoszenia w Dzienniku Urzędowym Województwa Dolnośląskiego</w:t>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jc w:val="center"/>
        <w:rPr/>
      </w:pPr>
      <w:r>
        <w:rPr/>
        <w:t>UZASADNIENIE</w:t>
      </w:r>
    </w:p>
    <w:p>
      <w:pPr>
        <w:pStyle w:val="Normal"/>
        <w:rPr/>
      </w:pPr>
      <w:r>
        <w:rPr/>
      </w:r>
    </w:p>
    <w:p>
      <w:pPr>
        <w:pStyle w:val="Normal"/>
        <w:jc w:val="both"/>
        <w:rPr/>
      </w:pPr>
      <w:r>
        <w:rPr/>
        <w:t>Zgodnie z art. 7 ust. 1 pkt 6a ustawy o samorządzie gminnym zaspokajanie zbiorczych potrzeb wspólnoty należy do zadań własnych gminy. W szczególności zadania własne gminy obejmują sprawy wpierania rodziny i pieczy zastępczej. Na podstawie art. 3 ust. 1 ustawy z dnia 9 czerwca 2011 r. o wspieraniu rodziny i systemie pieczy zastępczej obowiązek wspierania rodzin przeżywających trudności w wypełnianiu funkcji opiekuńczo-wychowawczych spoczywa na jednostkach samorządu terytorialnego, a jedną z podstawowych form wsparcia rodziny jest objęcie dzieci opieką i wychowaniem w placówce wsparcia dziennego. Zgodnie z art. 8 i 9 ustawy z 9 czerwca 2011 r. o wspieraniu rodziny i systemie pieczy zastępczej działanie placówki wsparcia dziennego ukierunkowane jest wsparcie rodziny przeżywającej trudności w wypełnieniu funkcji opiekuńczo-wychowawczych. Sposobem osiągnięcia powyższego jest udzielenie przez placówkę wsparcia dziennego pomocy w opiece i wychowaniu dziecka.  Biorąc pod uwagę powyższe w celu wykonywania przez gminę zadań w obszarze wsparcia dzieci i ich rodzin uzasadnione jest utworzenie placówki wsparcia dziennego w formie opiekuńczej. Placówka będzie działała w ramach struktury organizacyjnej Gminnego Ośrodka Pomocy Społecznej w Kamieńcu Ząbkowickim, który realizuje zadania własne gminy w obszarze pomocy społecznej, w tym w zakresie wspierania rodzin przeżywających trudności w wypełnianiu funkcji opiekuńczo-wychowawczej. Zgodnie z art. 18c  ust. 1 ustawy o wpieraniu rodziny i systemie pieczy zastępczej gmina może połączyć placówkę wsparcia dziennego lub inny podmiot wyznaczony do pracy z rodziną z jednostką organizacyjną pomocy społecznej, w tym jednostką organizacyjną, o której mowa w art. 111 ustawy z dnia 12 marca 2004 r. o pomocy społecznej. Jeżeli połączenie obejmuje ośrodek pomocy społecznej, placówka wsparcia dziennego działa w ramach tego ośrodka.</w:t>
      </w:r>
    </w:p>
    <w:p>
      <w:pPr>
        <w:pStyle w:val="Normal"/>
        <w:jc w:val="both"/>
        <w:rPr/>
      </w:pPr>
      <w:r>
        <w:rPr/>
      </w:r>
    </w:p>
    <w:p>
      <w:pPr>
        <w:pStyle w:val="Normal"/>
        <w:jc w:val="both"/>
        <w:rPr/>
      </w:pPr>
      <w:r>
        <w:rPr/>
        <w:t xml:space="preserve">Biorąc pod uwagę powyższe zasadne jest przyjęcie przez Radę Gminy uchwały w sprawie utworzenia placówki wsparcia dziennego.    </w:t>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8</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nyWeb"/>
        <w:shd w:fill="FFFFFF" w:val="clear"/>
        <w:spacing w:lineRule="atLeast" w:line="236"/>
        <w:jc w:val="center"/>
        <w:rPr/>
      </w:pPr>
      <w:r>
        <w:rPr>
          <w:b/>
          <w:bCs/>
          <w:sz w:val="22"/>
          <w:szCs w:val="22"/>
        </w:rPr>
        <w:t>UCHWAŁA Nr .../.../.....</w:t>
      </w:r>
    </w:p>
    <w:p>
      <w:pPr>
        <w:pStyle w:val="NormalnyWeb"/>
        <w:shd w:fill="FFFFFF" w:val="clear"/>
        <w:spacing w:lineRule="atLeast" w:line="236"/>
        <w:jc w:val="center"/>
        <w:rPr/>
      </w:pPr>
      <w:r>
        <w:rPr>
          <w:b/>
          <w:bCs/>
          <w:sz w:val="22"/>
          <w:szCs w:val="22"/>
        </w:rPr>
        <w:t>Rady Gminy  Kamieniec Ząbkowicki</w:t>
      </w:r>
    </w:p>
    <w:p>
      <w:pPr>
        <w:pStyle w:val="NormalnyWeb"/>
        <w:shd w:fill="FFFFFF" w:val="clear"/>
        <w:spacing w:lineRule="atLeast" w:line="236"/>
        <w:jc w:val="center"/>
        <w:rPr>
          <w:bCs/>
          <w:sz w:val="22"/>
          <w:szCs w:val="22"/>
        </w:rPr>
      </w:pPr>
      <w:r>
        <w:rPr>
          <w:bCs/>
          <w:sz w:val="22"/>
          <w:szCs w:val="22"/>
        </w:rPr>
        <w:t xml:space="preserve">z dnia ............ </w:t>
      </w:r>
    </w:p>
    <w:p>
      <w:pPr>
        <w:pStyle w:val="NormalnyWeb"/>
        <w:shd w:fill="FFFFFF" w:val="clear"/>
        <w:spacing w:lineRule="atLeast" w:line="236"/>
        <w:jc w:val="center"/>
        <w:rPr/>
      </w:pPr>
      <w:r>
        <w:rPr>
          <w:b/>
          <w:bCs/>
          <w:sz w:val="22"/>
          <w:szCs w:val="22"/>
        </w:rPr>
        <w:t>w sprawie określenia wysokości stawek podatku od nieruchomości na 2021 rok oraz zwolnień  z tego podatku</w:t>
      </w:r>
    </w:p>
    <w:p>
      <w:pPr>
        <w:pStyle w:val="NormalnyWeb"/>
        <w:shd w:fill="FFFFFF" w:val="clear"/>
        <w:spacing w:lineRule="atLeast" w:line="236"/>
        <w:ind w:firstLine="540"/>
        <w:jc w:val="both"/>
        <w:rPr/>
      </w:pPr>
      <w:r>
        <w:rPr>
          <w:sz w:val="22"/>
          <w:szCs w:val="22"/>
        </w:rPr>
        <w:t>Na podstawie art. 18 ust. 2 pkt 8 ustawy z dnia 8 marca 1990 r. o samorządzie gminnym (Dz. U. z 2020 r. poz. 713), art. 5 ust. 1 i art. 7 ust. 3 ustawy z dnia 12 stycznia 1991 r. o podatkach i opłatach lokalnych (Dz. U. z 2019 r. poz. 1170 oraz z 2018 r. poz. 2244) oraz obwieszczenia Ministra Finansów z dnia 23 lipca 2020 r. w sprawie górnych granic stawek kwotowych podatków i opłat lokalnych na rok 2021 (M.P. poz. 673), Rada Gminy Kamieniec Ząbkowicki uchwala, co następuje:</w:t>
      </w:r>
    </w:p>
    <w:p>
      <w:pPr>
        <w:pStyle w:val="NormalnyWeb"/>
        <w:shd w:fill="FFFFFF" w:val="clear"/>
        <w:spacing w:lineRule="atLeast" w:line="236"/>
        <w:jc w:val="both"/>
        <w:rPr/>
      </w:pPr>
      <w:r>
        <w:rPr>
          <w:sz w:val="22"/>
          <w:szCs w:val="22"/>
        </w:rPr>
        <w:t xml:space="preserve">     </w:t>
      </w:r>
      <w:r>
        <w:rPr>
          <w:sz w:val="22"/>
          <w:szCs w:val="22"/>
        </w:rPr>
        <w:t xml:space="preserve">§ 1. Określa się następujące stawki podatku od nieruchomości obowiązujące na terenie Gminy Kamieniec Ząbkowicki </w:t>
      </w:r>
    </w:p>
    <w:p>
      <w:pPr>
        <w:pStyle w:val="NormalnyWeb"/>
        <w:numPr>
          <w:ilvl w:val="0"/>
          <w:numId w:val="5"/>
        </w:numPr>
        <w:shd w:fill="FFFFFF" w:val="clear"/>
        <w:spacing w:lineRule="atLeast" w:line="236" w:before="280" w:after="280"/>
        <w:jc w:val="both"/>
        <w:rPr>
          <w:sz w:val="22"/>
          <w:szCs w:val="22"/>
        </w:rPr>
      </w:pPr>
      <w:r>
        <w:rPr>
          <w:sz w:val="22"/>
          <w:szCs w:val="22"/>
        </w:rPr>
        <w:t xml:space="preserve">od gruntów: </w:t>
      </w:r>
    </w:p>
    <w:p>
      <w:pPr>
        <w:pStyle w:val="NormalnyWeb"/>
        <w:numPr>
          <w:ilvl w:val="0"/>
          <w:numId w:val="21"/>
        </w:numPr>
        <w:shd w:fill="FFFFFF" w:val="clear"/>
        <w:spacing w:lineRule="atLeast" w:line="236" w:before="0" w:after="280"/>
        <w:jc w:val="both"/>
        <w:rPr/>
      </w:pPr>
      <w:r>
        <w:rPr>
          <w:sz w:val="22"/>
          <w:szCs w:val="22"/>
        </w:rPr>
        <w:t xml:space="preserve">związanych z prowadzeniem działalności gospodarczej bez względu na sposób    zakwalifikowania w ewidencji gruntów i budynków </w:t>
      </w:r>
      <w:r>
        <w:rPr>
          <w:b/>
          <w:sz w:val="22"/>
          <w:szCs w:val="22"/>
        </w:rPr>
        <w:t>0,99</w:t>
      </w:r>
      <w:r>
        <w:rPr>
          <w:sz w:val="22"/>
          <w:szCs w:val="22"/>
        </w:rPr>
        <w:t xml:space="preserve"> zł od 1 m² powierzchni; </w:t>
      </w:r>
    </w:p>
    <w:p>
      <w:pPr>
        <w:pStyle w:val="NormalnyWeb"/>
        <w:numPr>
          <w:ilvl w:val="0"/>
          <w:numId w:val="21"/>
        </w:numPr>
        <w:shd w:fill="FFFFFF" w:val="clear"/>
        <w:tabs>
          <w:tab w:val="clear" w:pos="708"/>
        </w:tabs>
        <w:spacing w:lineRule="atLeast" w:line="236" w:before="0" w:after="280"/>
        <w:jc w:val="both"/>
        <w:rPr/>
      </w:pPr>
      <w:r>
        <w:rPr>
          <w:sz w:val="22"/>
          <w:szCs w:val="22"/>
        </w:rPr>
        <w:t xml:space="preserve">pod wodami powierzchniowymi stojącymi lub wodami powierzchniowymi płynącymi jezior i zbiorników sztucznych </w:t>
      </w:r>
      <w:r>
        <w:rPr>
          <w:b/>
          <w:sz w:val="22"/>
          <w:szCs w:val="22"/>
        </w:rPr>
        <w:t>4,99</w:t>
      </w:r>
      <w:r>
        <w:rPr>
          <w:sz w:val="22"/>
          <w:szCs w:val="22"/>
        </w:rPr>
        <w:t xml:space="preserve"> zł od 1 ha powierzchni; </w:t>
      </w:r>
    </w:p>
    <w:p>
      <w:pPr>
        <w:pStyle w:val="NormalnyWeb"/>
        <w:numPr>
          <w:ilvl w:val="0"/>
          <w:numId w:val="21"/>
        </w:numPr>
        <w:shd w:fill="FFFFFF" w:val="clear"/>
        <w:tabs>
          <w:tab w:val="clear" w:pos="708"/>
        </w:tabs>
        <w:spacing w:lineRule="atLeast" w:line="236" w:before="0" w:after="280"/>
        <w:jc w:val="both"/>
        <w:rPr/>
      </w:pPr>
      <w:r>
        <w:rPr>
          <w:sz w:val="22"/>
          <w:szCs w:val="22"/>
        </w:rPr>
        <w:t xml:space="preserve">pozostałych, w tym zajętych na prowadzenie odpłatnej statutowej działalności pożytku publicznego przez organizacje pożytku publicznego </w:t>
      </w:r>
      <w:r>
        <w:rPr>
          <w:b/>
          <w:sz w:val="22"/>
          <w:szCs w:val="22"/>
        </w:rPr>
        <w:t>0,52</w:t>
      </w:r>
      <w:r>
        <w:rPr>
          <w:sz w:val="22"/>
          <w:szCs w:val="22"/>
        </w:rPr>
        <w:t xml:space="preserve"> zł od 1 m² powierzchni; </w:t>
      </w:r>
    </w:p>
    <w:p>
      <w:pPr>
        <w:pStyle w:val="NormalnyWeb"/>
        <w:numPr>
          <w:ilvl w:val="0"/>
          <w:numId w:val="21"/>
        </w:numPr>
        <w:shd w:fill="FFFFFF" w:val="clear"/>
        <w:tabs>
          <w:tab w:val="clear" w:pos="708"/>
        </w:tabs>
        <w:spacing w:lineRule="atLeast" w:line="236" w:before="0" w:after="280"/>
        <w:jc w:val="both"/>
        <w:rPr/>
      </w:pPr>
      <w:r>
        <w:rPr/>
        <w:t xml:space="preserve">niezabudowanych objętych obszarem rewitalizacji, o którym mowa w </w:t>
      </w:r>
      <w:r>
        <w:fldChar w:fldCharType="begin"/>
      </w:r>
      <w:r>
        <w:rPr>
          <w:rStyle w:val="Czeinternetowe"/>
          <w:u w:val="none"/>
        </w:rPr>
        <w:instrText> HYPERLINK "https://sip.lex.pl/" \l "/dokument/18235253"</w:instrText>
      </w:r>
      <w:r>
        <w:rPr>
          <w:rStyle w:val="Czeinternetowe"/>
          <w:u w:val="none"/>
        </w:rPr>
        <w:fldChar w:fldCharType="separate"/>
      </w:r>
      <w:r>
        <w:rPr>
          <w:rStyle w:val="Czeinternetowe"/>
          <w:color w:val="000000"/>
          <w:u w:val="none"/>
        </w:rPr>
        <w:t>ustawie</w:t>
      </w:r>
      <w:r>
        <w:rPr>
          <w:rStyle w:val="Czeinternetowe"/>
          <w:u w:val="none"/>
        </w:rPr>
        <w:fldChar w:fldCharType="end"/>
      </w:r>
      <w:r>
        <w:rPr/>
        <w:t xml:space="preserve"> z dnia 9 października 2015 r. o rewitalizacji (Dz. U. z 2018 r. poz. 1398 oraz z 2019 r. poz. 730 i 1696), i położonych na terenach, dla których miejscowy plan zagospodarowania przestrzennego przewiduje przeznaczenie pod zabudowę mieszkaniową, usługową albo zabudowę o przeznaczeniu mieszanym obejmującym wyłącznie te rodzaje zabudowy, jeżeli od dnia wejścia w życie tego planu w odniesieniu do tych gruntów upłynął okres 4 lat, a w tym czasie nie zakończono budowy zgodnie z przepisami prawa budowlanego </w:t>
      </w:r>
      <w:r>
        <w:rPr>
          <w:b/>
        </w:rPr>
        <w:t>3,28</w:t>
      </w:r>
      <w:r>
        <w:rPr/>
        <w:t xml:space="preserve"> zł od 1 m</w:t>
      </w:r>
      <w:r>
        <w:rPr>
          <w:sz w:val="22"/>
          <w:szCs w:val="22"/>
        </w:rPr>
        <w:t>² powierzchni.</w:t>
      </w:r>
    </w:p>
    <w:p>
      <w:pPr>
        <w:pStyle w:val="NormalnyWeb"/>
        <w:shd w:fill="FFFFFF" w:val="clear"/>
        <w:spacing w:lineRule="atLeast" w:line="236"/>
        <w:jc w:val="both"/>
        <w:rPr/>
      </w:pPr>
      <w:r>
        <w:rPr>
          <w:sz w:val="22"/>
          <w:szCs w:val="22"/>
        </w:rPr>
        <w:t xml:space="preserve">    </w:t>
      </w:r>
      <w:r>
        <w:rPr>
          <w:sz w:val="22"/>
          <w:szCs w:val="22"/>
        </w:rPr>
        <w:t xml:space="preserve">2) od budynków lub ich części: </w:t>
      </w:r>
    </w:p>
    <w:p>
      <w:pPr>
        <w:pStyle w:val="NormalnyWeb"/>
        <w:numPr>
          <w:ilvl w:val="0"/>
          <w:numId w:val="22"/>
        </w:numPr>
        <w:shd w:fill="FFFFFF" w:val="clear"/>
        <w:spacing w:lineRule="atLeast" w:line="236" w:before="280" w:after="0"/>
        <w:jc w:val="both"/>
        <w:rPr/>
      </w:pPr>
      <w:r>
        <w:rPr>
          <w:sz w:val="22"/>
          <w:szCs w:val="22"/>
        </w:rPr>
        <w:t xml:space="preserve">mieszkalnych </w:t>
      </w:r>
      <w:r>
        <w:rPr>
          <w:b/>
          <w:sz w:val="22"/>
          <w:szCs w:val="22"/>
        </w:rPr>
        <w:t>0,85</w:t>
      </w:r>
      <w:r>
        <w:rPr>
          <w:sz w:val="22"/>
          <w:szCs w:val="22"/>
        </w:rPr>
        <w:t xml:space="preserve"> zł od 1 m² powierzchni użytkowej, </w:t>
      </w:r>
    </w:p>
    <w:p>
      <w:pPr>
        <w:pStyle w:val="NormalnyWeb"/>
        <w:numPr>
          <w:ilvl w:val="0"/>
          <w:numId w:val="22"/>
        </w:numPr>
        <w:shd w:fill="FFFFFF" w:val="clear"/>
        <w:spacing w:before="0" w:after="0"/>
        <w:jc w:val="both"/>
        <w:rPr/>
      </w:pPr>
      <w:r>
        <w:rPr>
          <w:sz w:val="22"/>
          <w:szCs w:val="22"/>
        </w:rPr>
        <w:t xml:space="preserve">związanych z prowadzeniem działalności gospodarczej oraz od budynków mieszkalnych lub ich części zajętych na prowadzenie działalności gospodarczej </w:t>
      </w:r>
      <w:r>
        <w:rPr>
          <w:b/>
          <w:sz w:val="22"/>
          <w:szCs w:val="22"/>
        </w:rPr>
        <w:t>24,84</w:t>
      </w:r>
      <w:r>
        <w:rPr>
          <w:sz w:val="22"/>
          <w:szCs w:val="22"/>
        </w:rPr>
        <w:t xml:space="preserve"> zł od 1 m² powierzchni użytkowej;</w:t>
      </w:r>
    </w:p>
    <w:p>
      <w:pPr>
        <w:pStyle w:val="NormalnyWeb"/>
        <w:numPr>
          <w:ilvl w:val="0"/>
          <w:numId w:val="22"/>
        </w:numPr>
        <w:shd w:fill="FFFFFF" w:val="clear"/>
        <w:spacing w:before="0" w:after="0"/>
        <w:ind w:left="714" w:hanging="357"/>
        <w:jc w:val="both"/>
        <w:rPr/>
      </w:pPr>
      <w:r>
        <w:rPr>
          <w:sz w:val="22"/>
          <w:szCs w:val="22"/>
        </w:rPr>
        <w:t xml:space="preserve">zajętych na prowadzenie działalności gospodarczej w zakresie obrotu kwalifikowanym materiałem siewnym </w:t>
      </w:r>
      <w:r>
        <w:rPr>
          <w:b/>
          <w:sz w:val="22"/>
          <w:szCs w:val="22"/>
        </w:rPr>
        <w:t>11,62</w:t>
      </w:r>
      <w:r>
        <w:rPr>
          <w:sz w:val="22"/>
          <w:szCs w:val="22"/>
        </w:rPr>
        <w:t xml:space="preserve"> zł od 1 m² powierzchni użytkowej;</w:t>
      </w:r>
    </w:p>
    <w:p>
      <w:pPr>
        <w:pStyle w:val="NormalnyWeb"/>
        <w:numPr>
          <w:ilvl w:val="0"/>
          <w:numId w:val="22"/>
        </w:numPr>
        <w:shd w:fill="FFFFFF" w:val="clear"/>
        <w:spacing w:before="0" w:after="0"/>
        <w:ind w:left="714" w:hanging="357"/>
        <w:jc w:val="both"/>
        <w:rPr/>
      </w:pPr>
      <w:r>
        <w:rPr>
          <w:sz w:val="22"/>
          <w:szCs w:val="22"/>
        </w:rPr>
        <w:t xml:space="preserve">związanych z udzielaniem świadczeń zdrowotnych w rozumieniu przepisów o działalności leczniczej, zajętych przez podmioty udzielające tych świadczeń </w:t>
      </w:r>
      <w:r>
        <w:rPr>
          <w:b/>
          <w:sz w:val="22"/>
          <w:szCs w:val="22"/>
        </w:rPr>
        <w:t>5,06</w:t>
      </w:r>
      <w:r>
        <w:rPr>
          <w:sz w:val="22"/>
          <w:szCs w:val="22"/>
        </w:rPr>
        <w:t xml:space="preserve"> zł od 1 m</w:t>
      </w:r>
      <w:r>
        <w:rPr>
          <w:sz w:val="22"/>
          <w:szCs w:val="22"/>
          <w:vertAlign w:val="superscript"/>
        </w:rPr>
        <w:t>2</w:t>
      </w:r>
      <w:r>
        <w:rPr>
          <w:sz w:val="22"/>
          <w:szCs w:val="22"/>
        </w:rPr>
        <w:t xml:space="preserve"> powierzchni użytkowej;</w:t>
      </w:r>
    </w:p>
    <w:p>
      <w:pPr>
        <w:pStyle w:val="NormalnyWeb"/>
        <w:numPr>
          <w:ilvl w:val="0"/>
          <w:numId w:val="22"/>
        </w:numPr>
        <w:shd w:fill="FFFFFF" w:val="clear"/>
        <w:spacing w:lineRule="atLeast" w:line="236" w:before="0" w:after="280"/>
        <w:jc w:val="both"/>
        <w:rPr/>
      </w:pPr>
      <w:r>
        <w:rPr>
          <w:sz w:val="22"/>
          <w:szCs w:val="22"/>
        </w:rPr>
        <w:t xml:space="preserve">pozostałych, w tym zajętych na prowadzenie odpłatnej statutowej działalności pożytku publicznego przez organizacje pożytku publicznego </w:t>
      </w:r>
      <w:r>
        <w:rPr>
          <w:b/>
          <w:sz w:val="22"/>
          <w:szCs w:val="22"/>
        </w:rPr>
        <w:t>8,37</w:t>
      </w:r>
      <w:r>
        <w:rPr>
          <w:sz w:val="22"/>
          <w:szCs w:val="22"/>
        </w:rPr>
        <w:t xml:space="preserve"> zł od 1 m² powierzchni użytkowej;</w:t>
      </w:r>
    </w:p>
    <w:p>
      <w:pPr>
        <w:pStyle w:val="NormalnyWeb"/>
        <w:numPr>
          <w:ilvl w:val="0"/>
          <w:numId w:val="7"/>
        </w:numPr>
        <w:shd w:fill="FFFFFF" w:val="clear"/>
        <w:spacing w:lineRule="atLeast" w:line="236" w:before="0" w:after="280"/>
        <w:jc w:val="both"/>
        <w:rPr/>
      </w:pPr>
      <w:r>
        <w:rPr>
          <w:sz w:val="22"/>
          <w:szCs w:val="22"/>
        </w:rPr>
        <w:t xml:space="preserve">od budowli: </w:t>
      </w:r>
      <w:r>
        <w:rPr>
          <w:b/>
          <w:sz w:val="22"/>
          <w:szCs w:val="22"/>
        </w:rPr>
        <w:t>2%</w:t>
      </w:r>
      <w:r>
        <w:rPr>
          <w:sz w:val="22"/>
          <w:szCs w:val="22"/>
        </w:rPr>
        <w:t xml:space="preserve">  ich wartości określonej na podstawie art. 4 ust. 1 pkt. 3 i ust. 3-7 ustawy z dnia 12 stycznia 1991 r. o podatkach i opłatach lokalnych. </w:t>
      </w:r>
    </w:p>
    <w:p>
      <w:pPr>
        <w:pStyle w:val="NormalnyWeb"/>
        <w:shd w:fill="FFFFFF" w:val="clear"/>
        <w:spacing w:lineRule="atLeast" w:line="236"/>
        <w:jc w:val="both"/>
        <w:rPr>
          <w:sz w:val="22"/>
          <w:szCs w:val="22"/>
        </w:rPr>
      </w:pPr>
      <w:r>
        <w:rPr>
          <w:sz w:val="22"/>
          <w:szCs w:val="22"/>
        </w:rPr>
        <w:t xml:space="preserve">   </w:t>
      </w:r>
      <w:r>
        <w:rPr>
          <w:sz w:val="22"/>
          <w:szCs w:val="22"/>
        </w:rPr>
        <w:t>§ 2. Zwalnia się od podatku od nieruchomości:</w:t>
      </w:r>
    </w:p>
    <w:p>
      <w:pPr>
        <w:pStyle w:val="Normal"/>
        <w:numPr>
          <w:ilvl w:val="0"/>
          <w:numId w:val="8"/>
        </w:numPr>
        <w:jc w:val="both"/>
        <w:rPr/>
      </w:pPr>
      <w:r>
        <w:rPr>
          <w:sz w:val="22"/>
          <w:szCs w:val="22"/>
        </w:rPr>
        <w:t>grunty i budynki lub ich części zajęte wyłącznie na potrzeby działalności kulturalnej   i sportowej z wyjątkiem wykorzystywanych do prowadzenia działalności gospodarczej;</w:t>
      </w:r>
    </w:p>
    <w:p>
      <w:pPr>
        <w:pStyle w:val="Normal"/>
        <w:numPr>
          <w:ilvl w:val="0"/>
          <w:numId w:val="8"/>
        </w:numPr>
        <w:ind w:left="714" w:hanging="357"/>
        <w:jc w:val="both"/>
        <w:rPr/>
      </w:pPr>
      <w:r>
        <w:rPr>
          <w:sz w:val="22"/>
          <w:szCs w:val="22"/>
        </w:rPr>
        <w:t>grunty i budynki lub ich części zajęte wyłącznie na cele działalności w zakresie pomocy społecznej z wyjątkiem wykorzystywanych do prowadzenia działalności gospodarczej;</w:t>
      </w:r>
    </w:p>
    <w:p>
      <w:pPr>
        <w:pStyle w:val="Normal"/>
        <w:numPr>
          <w:ilvl w:val="0"/>
          <w:numId w:val="8"/>
        </w:numPr>
        <w:ind w:left="714" w:hanging="357"/>
        <w:jc w:val="both"/>
        <w:rPr/>
      </w:pPr>
      <w:r>
        <w:rPr>
          <w:sz w:val="22"/>
          <w:szCs w:val="22"/>
        </w:rPr>
        <w:t>grunty i budynki lub ich części zajęte wyłącznie na potrzeby ochrony przeciwpożarowej;</w:t>
      </w:r>
    </w:p>
    <w:p>
      <w:pPr>
        <w:pStyle w:val="Normal"/>
        <w:numPr>
          <w:ilvl w:val="0"/>
          <w:numId w:val="8"/>
        </w:numPr>
        <w:ind w:left="714" w:hanging="357"/>
        <w:jc w:val="both"/>
        <w:rPr/>
      </w:pPr>
      <w:r>
        <w:rPr>
          <w:sz w:val="22"/>
          <w:szCs w:val="22"/>
        </w:rPr>
        <w:t>grunty i budynki lub ich części zajęte wyłącznie na potrzeby zatrudnienia socjalnego z wyjątkiem wykorzystywanych do prowadzenia działalności gospodarczej;</w:t>
      </w:r>
    </w:p>
    <w:p>
      <w:pPr>
        <w:pStyle w:val="Normal"/>
        <w:numPr>
          <w:ilvl w:val="0"/>
          <w:numId w:val="8"/>
        </w:numPr>
        <w:ind w:left="714" w:hanging="357"/>
        <w:jc w:val="both"/>
        <w:rPr/>
      </w:pPr>
      <w:r>
        <w:rPr/>
        <w:t>budynki gospodarcze wyłączone z gospodarstw rolnych przekazane w zamian za świadczenie uregulowane w ustawie o ubezpieczeniu społecznym rolników.</w:t>
      </w:r>
    </w:p>
    <w:p>
      <w:pPr>
        <w:pStyle w:val="NormalnyWeb"/>
        <w:shd w:fill="FFFFFF" w:val="clear"/>
        <w:spacing w:lineRule="atLeast" w:line="236"/>
        <w:jc w:val="both"/>
        <w:rPr/>
      </w:pPr>
      <w:r>
        <w:rPr>
          <w:sz w:val="22"/>
          <w:szCs w:val="22"/>
        </w:rPr>
        <w:t xml:space="preserve">§ 3.  Wykonanie uchwały powierza się Wójtowi Gminy Kamieniec Ząbkowicki. </w:t>
      </w:r>
    </w:p>
    <w:p>
      <w:pPr>
        <w:pStyle w:val="NormalnyWeb"/>
        <w:shd w:fill="FFFFFF" w:val="clear"/>
        <w:spacing w:lineRule="atLeast" w:line="236"/>
        <w:jc w:val="both"/>
        <w:rPr/>
      </w:pPr>
      <w:r>
        <w:rPr>
          <w:sz w:val="22"/>
          <w:szCs w:val="22"/>
        </w:rPr>
        <w:t xml:space="preserve">§ 4. Traci moc uchwała nr XII/96/2019 Rady Gminy Kamieniec Ząbkowicki z dnia 30 października 2019 r. </w:t>
      </w:r>
      <w:r>
        <w:rPr>
          <w:bCs/>
          <w:sz w:val="22"/>
          <w:szCs w:val="22"/>
        </w:rPr>
        <w:t>w sprawie określenia wysokości stawek podatku od nieruchomości na 2020 rok oraz zwolnień  z tego podatku.</w:t>
      </w:r>
    </w:p>
    <w:p>
      <w:pPr>
        <w:pStyle w:val="NormalnyWeb"/>
        <w:shd w:fill="FFFFFF" w:val="clear"/>
        <w:spacing w:lineRule="atLeast" w:line="236"/>
        <w:jc w:val="both"/>
        <w:rPr/>
      </w:pPr>
      <w:r>
        <w:rPr>
          <w:sz w:val="22"/>
          <w:szCs w:val="22"/>
        </w:rPr>
        <w:t>§ 4. Uchwała podlega ogłoszeniu w Dzienniku Urzędowym Województwa Dolnośląskiego i wchodzi w życiem z dniem 1 stycznia 2021 r.</w:t>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both"/>
        <w:rPr>
          <w:sz w:val="22"/>
          <w:szCs w:val="22"/>
        </w:rPr>
      </w:pPr>
      <w:r>
        <w:rPr>
          <w:sz w:val="22"/>
          <w:szCs w:val="22"/>
        </w:rPr>
      </w:r>
    </w:p>
    <w:p>
      <w:pPr>
        <w:pStyle w:val="NormalnyWeb"/>
        <w:shd w:fill="FFFFFF" w:val="clear"/>
        <w:spacing w:lineRule="atLeast" w:line="236"/>
        <w:jc w:val="center"/>
        <w:rPr>
          <w:sz w:val="22"/>
          <w:szCs w:val="22"/>
        </w:rPr>
      </w:pPr>
      <w:r>
        <w:rPr>
          <w:sz w:val="22"/>
          <w:szCs w:val="22"/>
        </w:rPr>
      </w:r>
    </w:p>
    <w:p>
      <w:pPr>
        <w:pStyle w:val="Normal"/>
        <w:rPr>
          <w:sz w:val="22"/>
          <w:szCs w:val="22"/>
        </w:rPr>
      </w:pPr>
      <w:r>
        <w:rPr>
          <w:sz w:val="22"/>
          <w:szCs w:val="2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rPr>
      </w:pPr>
      <w:r>
        <w:rPr>
          <w:b/>
        </w:rPr>
        <w:t>UZASADNIENIE</w:t>
      </w:r>
    </w:p>
    <w:p>
      <w:pPr>
        <w:pStyle w:val="Normal"/>
        <w:jc w:val="both"/>
        <w:rPr>
          <w:b/>
          <w:b/>
        </w:rPr>
      </w:pPr>
      <w:r>
        <w:rPr>
          <w:b/>
        </w:rPr>
      </w:r>
    </w:p>
    <w:p>
      <w:pPr>
        <w:pStyle w:val="Normal"/>
        <w:jc w:val="both"/>
        <w:rPr/>
      </w:pPr>
      <w:r>
        <w:rPr/>
      </w:r>
    </w:p>
    <w:p>
      <w:pPr>
        <w:pStyle w:val="Normal"/>
        <w:jc w:val="both"/>
        <w:rPr/>
      </w:pPr>
      <w:r>
        <w:rPr/>
      </w:r>
    </w:p>
    <w:p>
      <w:pPr>
        <w:pStyle w:val="Normal"/>
        <w:jc w:val="both"/>
        <w:rPr/>
      </w:pPr>
      <w:r>
        <w:rPr/>
        <w:t xml:space="preserve">Zgodnie z art. 5 ust. 1 ustawy o podatkach i opłatach lokalnych (Dz. U. z 2019 r. poz. 1170 oraz z 2018 r. poz. 2244) rada gminy w drodze uchwały określa wysokość stawek podatku od nieruchomości. </w:t>
      </w:r>
    </w:p>
    <w:p>
      <w:pPr>
        <w:pStyle w:val="Normal"/>
        <w:jc w:val="both"/>
        <w:rPr/>
      </w:pPr>
      <w:r>
        <w:rPr/>
      </w:r>
    </w:p>
    <w:p>
      <w:pPr>
        <w:pStyle w:val="Normal"/>
        <w:jc w:val="both"/>
        <w:rPr/>
      </w:pPr>
      <w:r>
        <w:rPr/>
        <w:t xml:space="preserve">Górne granice stawek kwotowych w podatku od nieruchomości określone w art. 5 ust. 1 cytowanej ustawy zgodnie z art. 20 ust. 1 obowiązujące w danym roku podatkowym ulegają corocznie zmianie na następny rok podatkowy w stopniu odpowiadającym wskaźnikowi cen towarów i usług konsumpcyjnych w okresie pierwszego półrocza roku, w którym stawki ulegają zmianie, w stosunku do analogicznego okresu roku poprzedniego. Wskaźnik cen ustala się na podstawie komunikatu Prezesa Głównego Urzędu Statystycznego, natomiast górne granice stawek kwotowych ogłasza w drodze obwieszczenia Minister właściwy do spraw finansów publicznych. Powyższe dane publikowane są w Dzienniku Urzędowym RP „Monitor Polski”. Ogłoszony przez Prezesa GUS wskaźnik w I półroczu 2020 r. w stosunku do I półrocza 2019 r. wyniósł 103,9 (M.P. poz. 625). Nastąpił wzrost cen o 3,9%. Tym samym ogłoszone przez Ministra Finansów górne granice stawek kwotowych podatków i opłat lokalnych na rok 2021 są wyższe o 3,9% w stosunku do górnych granic stawek kwotowych podatków i opłat lokalnych w roku 2020. </w:t>
      </w:r>
    </w:p>
    <w:p>
      <w:pPr>
        <w:pStyle w:val="Normal"/>
        <w:jc w:val="both"/>
        <w:rPr/>
      </w:pPr>
      <w:r>
        <w:rPr/>
      </w:r>
    </w:p>
    <w:p>
      <w:pPr>
        <w:pStyle w:val="Normal"/>
        <w:jc w:val="both"/>
        <w:rPr/>
      </w:pPr>
      <w:r>
        <w:rPr/>
        <w:t xml:space="preserve">W przedłożonym projekcie uchwały proponuje się utrzymanie stawek podatku od nieruchomości w roku 2021 na poziomie stawek ogłoszonych przez Ministra Finansów w Obwieszczeniu z dnia 23 lipca 2020 r.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9</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rPr/>
      </w:pPr>
      <w:r>
        <w:rPr/>
      </w:r>
    </w:p>
    <w:p>
      <w:pPr>
        <w:pStyle w:val="NoSpacing"/>
        <w:jc w:val="center"/>
        <w:rPr/>
      </w:pPr>
      <w:r>
        <w:rPr>
          <w:rFonts w:cs="Times New Roman" w:ascii="Times New Roman" w:hAnsi="Times New Roman"/>
        </w:rPr>
        <w:t>UCHWAŁA NR …..……..</w:t>
      </w:r>
    </w:p>
    <w:p>
      <w:pPr>
        <w:pStyle w:val="NoSpacing"/>
        <w:jc w:val="center"/>
        <w:rPr>
          <w:rFonts w:ascii="Times New Roman" w:hAnsi="Times New Roman" w:cs="Times New Roman"/>
        </w:rPr>
      </w:pPr>
      <w:r>
        <w:rPr>
          <w:rFonts w:cs="Times New Roman" w:ascii="Times New Roman" w:hAnsi="Times New Roman"/>
        </w:rPr>
        <w:t>RADY GMINY KAMIENIEC ZĄBKOWICKI</w:t>
      </w:r>
    </w:p>
    <w:p>
      <w:pPr>
        <w:pStyle w:val="NoSpacing"/>
        <w:jc w:val="center"/>
        <w:rPr>
          <w:rFonts w:ascii="Times New Roman" w:hAnsi="Times New Roman" w:cs="Times New Roman"/>
        </w:rPr>
      </w:pPr>
      <w:r>
        <w:rPr>
          <w:rFonts w:cs="Times New Roman" w:ascii="Times New Roman" w:hAnsi="Times New Roman"/>
        </w:rPr>
        <w:t>z dnia ……………….</w:t>
      </w:r>
    </w:p>
    <w:p>
      <w:pPr>
        <w:pStyle w:val="NoSpacing"/>
        <w:jc w:val="center"/>
        <w:rPr>
          <w:rFonts w:ascii="Times New Roman" w:hAnsi="Times New Roman" w:cs="Times New Roman"/>
        </w:rPr>
      </w:pPr>
      <w:r>
        <w:rPr>
          <w:rFonts w:cs="Times New Roman" w:ascii="Times New Roman" w:hAnsi="Times New Roman"/>
        </w:rPr>
      </w:r>
    </w:p>
    <w:p>
      <w:pPr>
        <w:pStyle w:val="NoSpacing"/>
        <w:jc w:val="center"/>
        <w:rPr/>
      </w:pPr>
      <w:r>
        <w:rPr>
          <w:rFonts w:cs="Times New Roman" w:ascii="Times New Roman" w:hAnsi="Times New Roman"/>
        </w:rPr>
        <w:t>w sprawie określenia wysokości stawek podatku od środków transportowych na 2021 rok</w:t>
      </w:r>
    </w:p>
    <w:p>
      <w:pPr>
        <w:pStyle w:val="NoSpacing"/>
        <w:jc w:val="both"/>
        <w:rPr>
          <w:rFonts w:ascii="Times New Roman" w:hAnsi="Times New Roman" w:cs="Times New Roman"/>
        </w:rPr>
      </w:pPr>
      <w:r>
        <w:rPr>
          <w:rFonts w:cs="Times New Roman" w:ascii="Times New Roman" w:hAnsi="Times New Roman"/>
        </w:rPr>
      </w:r>
    </w:p>
    <w:p>
      <w:pPr>
        <w:pStyle w:val="NoSpacing"/>
        <w:ind w:firstLine="708"/>
        <w:jc w:val="both"/>
        <w:rPr/>
      </w:pPr>
      <w:r>
        <w:rPr>
          <w:rFonts w:cs="Times New Roman" w:ascii="Times New Roman" w:hAnsi="Times New Roman"/>
        </w:rPr>
        <w:t>Na podstawie art. 18 ust. 2 pkt 8 ustawy z dnia 8 marca 1990 r. o samorządzie gminnym (Dz. U. z 2020 r., poz. 713 z późn. zm.) w związku z art. 10 ust. 1 ustawy z dnia 12 stycznia 1991 r. o podatkach i opłatach lokalnych (tekst jednolity Dz. U. z 2019 r., poz. 1170 oraz z 2018 r. poz. 2244), obwieszczenia Ministra Finansów z dnia 23 lipca 2020 r. w sprawie górnych granic stawek kwotowych podatków i opłat lokalnych na rok 2021 (M.P. poz. 673), obwieszczenia Ministra Finansów, Funduszy i Polityki Regionalnej z dnia 8 października 2020 r. w sprawie minimalnych stawek podatku od środków transportowych obowiązujących w 2021 r. (M.P. poz. 1002) Rada Gminy Kamieniec Ząbkowicki uchwala co następuje:</w:t>
      </w:r>
    </w:p>
    <w:p>
      <w:pPr>
        <w:pStyle w:val="NoSpacing"/>
        <w:jc w:val="both"/>
        <w:rPr>
          <w:rFonts w:ascii="Times New Roman" w:hAnsi="Times New Roman" w:cs="Times New Roman"/>
        </w:rPr>
      </w:pPr>
      <w:r>
        <w:rPr>
          <w:rFonts w:cs="Times New Roman" w:ascii="Times New Roman" w:hAnsi="Times New Roman"/>
        </w:rPr>
      </w:r>
    </w:p>
    <w:p>
      <w:pPr>
        <w:pStyle w:val="NoSpacing"/>
        <w:jc w:val="both"/>
        <w:rPr>
          <w:rFonts w:ascii="Times New Roman" w:hAnsi="Times New Roman" w:cs="Times New Roman"/>
        </w:rPr>
      </w:pPr>
      <w:r>
        <w:rPr>
          <w:rFonts w:cs="Times New Roman" w:ascii="Times New Roman" w:hAnsi="Times New Roman"/>
        </w:rPr>
        <w:t>§ 1. Roczna stawka podatku od środków transportowych od jednego środka transportowego wynosi:</w:t>
      </w:r>
    </w:p>
    <w:p>
      <w:pPr>
        <w:pStyle w:val="NoSpacing"/>
        <w:numPr>
          <w:ilvl w:val="0"/>
          <w:numId w:val="9"/>
        </w:numPr>
        <w:jc w:val="both"/>
        <w:rPr/>
      </w:pPr>
      <w:r>
        <w:rPr>
          <w:rFonts w:cs="Times New Roman" w:ascii="Times New Roman" w:hAnsi="Times New Roman"/>
        </w:rPr>
        <w:t>od samochodu ciężarowego, o którym mowa w art. 8 pkt 1 ustawy z dnia 12 stycznia 1991 r. o podatkach i opłatach lokalnych, w zależności od dopuszczalnej masy całkowitej pojazdu:</w:t>
      </w:r>
    </w:p>
    <w:p>
      <w:pPr>
        <w:pStyle w:val="NoSpacing"/>
        <w:numPr>
          <w:ilvl w:val="0"/>
          <w:numId w:val="10"/>
        </w:numPr>
        <w:jc w:val="both"/>
        <w:rPr/>
      </w:pPr>
      <w:r>
        <w:rPr>
          <w:rFonts w:cs="Times New Roman" w:ascii="Times New Roman" w:hAnsi="Times New Roman"/>
        </w:rPr>
        <w:t>powyżej 3,5 tony do 5,5 tony włącznie – 880,77 zł</w:t>
      </w:r>
    </w:p>
    <w:p>
      <w:pPr>
        <w:pStyle w:val="NoSpacing"/>
        <w:numPr>
          <w:ilvl w:val="0"/>
          <w:numId w:val="10"/>
        </w:numPr>
        <w:jc w:val="both"/>
        <w:rPr/>
      </w:pPr>
      <w:r>
        <w:rPr>
          <w:rFonts w:cs="Times New Roman" w:ascii="Times New Roman" w:hAnsi="Times New Roman"/>
        </w:rPr>
        <w:t>powyżej 5,5 tony do 9 ton włącznie – 1469,31 zł</w:t>
      </w:r>
    </w:p>
    <w:p>
      <w:pPr>
        <w:pStyle w:val="NoSpacing"/>
        <w:numPr>
          <w:ilvl w:val="0"/>
          <w:numId w:val="10"/>
        </w:numPr>
        <w:jc w:val="both"/>
        <w:rPr/>
      </w:pPr>
      <w:r>
        <w:rPr>
          <w:rFonts w:cs="Times New Roman" w:ascii="Times New Roman" w:hAnsi="Times New Roman"/>
        </w:rPr>
        <w:t>powyżej 9 ton do poniżej 12 ton – 1763,16 zł;</w:t>
      </w:r>
    </w:p>
    <w:p>
      <w:pPr>
        <w:pStyle w:val="NoSpacing"/>
        <w:numPr>
          <w:ilvl w:val="0"/>
          <w:numId w:val="9"/>
        </w:numPr>
        <w:jc w:val="both"/>
        <w:rPr/>
      </w:pPr>
      <w:r>
        <w:rPr>
          <w:rFonts w:cs="Times New Roman" w:ascii="Times New Roman" w:hAnsi="Times New Roman"/>
        </w:rPr>
        <w:t>od samochodu ciężarowego, o którym mowa w art. 8 pkt 2 ustawy z dnia 12 stycznia 1991 r. o podatkach i opłatach lokalnych, o dopuszczalnej masie całkowitej równej i wyższej niż 12 ton – 3364,56 zł;</w:t>
      </w:r>
    </w:p>
    <w:p>
      <w:pPr>
        <w:pStyle w:val="NoSpacing"/>
        <w:numPr>
          <w:ilvl w:val="0"/>
          <w:numId w:val="9"/>
        </w:numPr>
        <w:jc w:val="both"/>
        <w:rPr/>
      </w:pPr>
      <w:r>
        <w:rPr>
          <w:rFonts w:cs="Times New Roman" w:ascii="Times New Roman" w:hAnsi="Times New Roman"/>
        </w:rPr>
        <w:t>od ciągnika siodłowego lub balastowego, o których mowa w art. 8 pkt 3 ustawy z dnia 12 stycznia 1991 r. o podatkach i opłatach lokalnych, przystosowanego do używania łącznie z naczepą lub przyczepą o dopuszczalnej masie całkowitej zespołu pojazdów od 3,5 tony i poniżej 12 ton – 2056,99 zł;</w:t>
      </w:r>
    </w:p>
    <w:p>
      <w:pPr>
        <w:pStyle w:val="NoSpacing"/>
        <w:numPr>
          <w:ilvl w:val="0"/>
          <w:numId w:val="9"/>
        </w:numPr>
        <w:jc w:val="both"/>
        <w:rPr>
          <w:rFonts w:ascii="Times New Roman" w:hAnsi="Times New Roman" w:cs="Times New Roman"/>
        </w:rPr>
      </w:pPr>
      <w:r>
        <w:rPr>
          <w:rFonts w:cs="Times New Roman" w:ascii="Times New Roman" w:hAnsi="Times New Roman"/>
        </w:rPr>
        <w:t xml:space="preserve">od ciągnika siodłowego lub balastowego, o których mowa w art. 8 pkt 4 ustawy z dnia 12 stycznia 1991 r. o podatkach i opłatach lokalnych, przystosowanego do używania łącznie z naczepą lub przyczepą o dopuszczalnej masie całkowitej zespołu pojazdów równej lub wyższej niż 12 ton – w zależności od dopuszczalnej masy całkowitej zespołu pojazdów: </w:t>
      </w:r>
    </w:p>
    <w:p>
      <w:pPr>
        <w:pStyle w:val="NoSpacing"/>
        <w:numPr>
          <w:ilvl w:val="0"/>
          <w:numId w:val="11"/>
        </w:numPr>
        <w:jc w:val="both"/>
        <w:rPr/>
      </w:pPr>
      <w:r>
        <w:rPr>
          <w:rFonts w:cs="Times New Roman" w:ascii="Times New Roman" w:hAnsi="Times New Roman"/>
        </w:rPr>
        <w:t xml:space="preserve">do 36 ton włącznie – 2600,58 zł </w:t>
      </w:r>
    </w:p>
    <w:p>
      <w:pPr>
        <w:pStyle w:val="NoSpacing"/>
        <w:numPr>
          <w:ilvl w:val="0"/>
          <w:numId w:val="11"/>
        </w:numPr>
        <w:jc w:val="both"/>
        <w:rPr/>
      </w:pPr>
      <w:r>
        <w:rPr>
          <w:rFonts w:cs="Times New Roman" w:ascii="Times New Roman" w:hAnsi="Times New Roman"/>
        </w:rPr>
        <w:t>powyżej 36 ton – 3364,56 zł;</w:t>
      </w:r>
    </w:p>
    <w:p>
      <w:pPr>
        <w:pStyle w:val="NoSpacing"/>
        <w:numPr>
          <w:ilvl w:val="0"/>
          <w:numId w:val="9"/>
        </w:numPr>
        <w:jc w:val="both"/>
        <w:rPr/>
      </w:pPr>
      <w:r>
        <w:rPr>
          <w:rFonts w:cs="Times New Roman" w:ascii="Times New Roman" w:hAnsi="Times New Roman"/>
        </w:rPr>
        <w:t>od przyczepy lub naczepy, o których mowa w art. 8 pkt 5 ustawy z dnia 12 stycznia 1991 r. o podatkach i opłatach lokalnych, które łącznie z pojazdem silnikowym posiadają dopuszczalną masę całkowitą od 7 ton i poniżej 12 ton, z wyjątkiem związanych wyłącznie z działalnością rolniczą prowadzoną przez podatnika podatku rolnego – 1763,16 zł;</w:t>
      </w:r>
    </w:p>
    <w:p>
      <w:pPr>
        <w:pStyle w:val="NoSpacing"/>
        <w:numPr>
          <w:ilvl w:val="0"/>
          <w:numId w:val="9"/>
        </w:numPr>
        <w:jc w:val="both"/>
        <w:rPr/>
      </w:pPr>
      <w:r>
        <w:rPr>
          <w:rFonts w:cs="Times New Roman" w:ascii="Times New Roman" w:hAnsi="Times New Roman"/>
        </w:rPr>
        <w:t xml:space="preserve"> </w:t>
      </w:r>
      <w:r>
        <w:rPr>
          <w:rFonts w:cs="Times New Roman" w:ascii="Times New Roman" w:hAnsi="Times New Roman"/>
        </w:rPr>
        <w:t xml:space="preserve">od przyczepy lub naczepy, o których mowa w art. 8 pkt 6 ustawy z dnia 12 stycznia 1991 r. o podatkach i opłatach lokalnych, które łącznie z pojazdem silnikowym posiadają dopuszczalną masę całkowitą równą lub wyższą niż 12 ton, z wyjątkiem związanych wyłącznie z działalnością rolniczą prowadzoną przez podatnika podatku rolnego – w zależności od dopuszczalnej masy całkowitej zespołu pojazdów: </w:t>
      </w:r>
    </w:p>
    <w:p>
      <w:pPr>
        <w:pStyle w:val="NoSpacing"/>
        <w:numPr>
          <w:ilvl w:val="0"/>
          <w:numId w:val="21"/>
        </w:numPr>
        <w:jc w:val="both"/>
        <w:rPr/>
      </w:pPr>
      <w:r>
        <w:rPr>
          <w:rFonts w:cs="Times New Roman" w:ascii="Times New Roman" w:hAnsi="Times New Roman"/>
        </w:rPr>
        <w:t xml:space="preserve">do 36 ton włącznie – 2056,99 zł </w:t>
      </w:r>
    </w:p>
    <w:p>
      <w:pPr>
        <w:pStyle w:val="NoSpacing"/>
        <w:numPr>
          <w:ilvl w:val="0"/>
          <w:numId w:val="21"/>
        </w:numPr>
        <w:jc w:val="both"/>
        <w:rPr/>
      </w:pPr>
      <w:r>
        <w:rPr>
          <w:rFonts w:cs="Times New Roman" w:ascii="Times New Roman" w:hAnsi="Times New Roman"/>
        </w:rPr>
        <w:t>powyżej 36 ton – 2600,58 zł;</w:t>
      </w:r>
    </w:p>
    <w:p>
      <w:pPr>
        <w:pStyle w:val="NoSpacing"/>
        <w:numPr>
          <w:ilvl w:val="0"/>
          <w:numId w:val="9"/>
        </w:numPr>
        <w:jc w:val="both"/>
        <w:rPr/>
      </w:pPr>
      <w:r>
        <w:rPr>
          <w:rFonts w:cs="Times New Roman" w:ascii="Times New Roman" w:hAnsi="Times New Roman"/>
        </w:rPr>
        <w:t>od autobusu, o których mowa w art. 8 pkt 7 ustawy z dnia 12 stycznia 1991 r. o podatkach i opłatach lokalnych, w zależności od liczby miejsc do siedzenia poza miejscem kierowcy:</w:t>
      </w:r>
    </w:p>
    <w:p>
      <w:pPr>
        <w:pStyle w:val="NoSpacing"/>
        <w:numPr>
          <w:ilvl w:val="0"/>
          <w:numId w:val="12"/>
        </w:numPr>
        <w:jc w:val="both"/>
        <w:rPr/>
      </w:pPr>
      <w:r>
        <w:rPr>
          <w:rFonts w:cs="Times New Roman" w:ascii="Times New Roman" w:hAnsi="Times New Roman"/>
        </w:rPr>
        <w:t>mniejszej niż 22 miejsca – 2081,96 zł</w:t>
      </w:r>
    </w:p>
    <w:p>
      <w:pPr>
        <w:pStyle w:val="NoSpacing"/>
        <w:numPr>
          <w:ilvl w:val="0"/>
          <w:numId w:val="12"/>
        </w:numPr>
        <w:jc w:val="both"/>
        <w:rPr/>
      </w:pPr>
      <w:r>
        <w:rPr>
          <w:rFonts w:cs="Times New Roman" w:ascii="Times New Roman" w:hAnsi="Times New Roman"/>
        </w:rPr>
        <w:t>równej lub wyższej niż 22 miejsca – 2632,17 zł.</w:t>
      </w:r>
    </w:p>
    <w:p>
      <w:pPr>
        <w:pStyle w:val="NoSpacing"/>
        <w:jc w:val="both"/>
        <w:rPr/>
      </w:pPr>
      <w:r>
        <w:rPr>
          <w:rFonts w:cs="Times New Roman" w:ascii="Times New Roman" w:hAnsi="Times New Roman"/>
        </w:rPr>
        <w:t>§ 2. Wykonanie uchwały powierza się Wójtowi Gminy Kamieniec Ząbkowicki.</w:t>
      </w:r>
    </w:p>
    <w:p>
      <w:pPr>
        <w:pStyle w:val="NoSpacing"/>
        <w:jc w:val="both"/>
        <w:rPr/>
      </w:pPr>
      <w:r>
        <w:rPr>
          <w:rFonts w:cs="Times New Roman" w:ascii="Times New Roman" w:hAnsi="Times New Roman"/>
        </w:rPr>
        <w:t>§ 3. Traci moc uchwala nr XII/97/2019 Rady Gminy Kamieniec Ząbkowicki z dnia 30 października  2019 r. w sprawie określenia wysokości stawek podatku od środków transportowych na 2020 rok.</w:t>
      </w:r>
    </w:p>
    <w:p>
      <w:pPr>
        <w:pStyle w:val="NoSpacing"/>
        <w:jc w:val="both"/>
        <w:rPr/>
      </w:pPr>
      <w:r>
        <w:rPr>
          <w:rFonts w:cs="Times New Roman" w:ascii="Times New Roman" w:hAnsi="Times New Roman"/>
        </w:rPr>
        <w:t>§ 4. Uchwała podlega ogłoszeniu w Dzienniku Urzędowym Województwa Dolnośląskiego i wchodzi w życie z dniem 1 stycznia 2021 r.</w:t>
      </w:r>
    </w:p>
    <w:p>
      <w:pPr>
        <w:pStyle w:val="NoSpacing"/>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b/>
        </w:rPr>
      </w:pPr>
      <w:r>
        <w:rPr>
          <w:rFonts w:cs="Times New Roman"/>
          <w:b/>
        </w:rPr>
      </w:r>
    </w:p>
    <w:p>
      <w:pPr>
        <w:pStyle w:val="Normal"/>
        <w:jc w:val="center"/>
        <w:rPr>
          <w:rFonts w:ascii="Times New Roman" w:hAnsi="Times New Roman" w:cs="Times New Roman"/>
          <w:b/>
          <w:b/>
        </w:rPr>
      </w:pPr>
      <w:r>
        <w:rPr>
          <w:rFonts w:cs="Times New Roman"/>
          <w:b/>
        </w:rPr>
      </w:r>
    </w:p>
    <w:p>
      <w:pPr>
        <w:pStyle w:val="Normal"/>
        <w:jc w:val="center"/>
        <w:rPr>
          <w:rFonts w:ascii="Times New Roman" w:hAnsi="Times New Roman" w:cs="Times New Roman"/>
          <w:b/>
          <w:b/>
        </w:rPr>
      </w:pPr>
      <w:r>
        <w:rPr>
          <w:rFonts w:cs="Times New Roman"/>
          <w:b/>
        </w:rPr>
      </w:r>
    </w:p>
    <w:p>
      <w:pPr>
        <w:pStyle w:val="Normal"/>
        <w:jc w:val="center"/>
        <w:rPr>
          <w:rFonts w:ascii="Times New Roman" w:hAnsi="Times New Roman" w:cs="Times New Roman"/>
          <w:b/>
          <w:b/>
        </w:rPr>
      </w:pPr>
      <w:r>
        <w:rPr>
          <w:rFonts w:cs="Times New Roman"/>
          <w:b/>
        </w:rPr>
        <w:t>UZASADNIENIE</w:t>
      </w:r>
    </w:p>
    <w:p>
      <w:pPr>
        <w:pStyle w:val="Normal"/>
        <w:jc w:val="both"/>
        <w:rPr/>
      </w:pPr>
      <w:r>
        <w:rPr>
          <w:rFonts w:cs="Times New Roman"/>
        </w:rPr>
        <w:t xml:space="preserve">Zgodnie z art. 10 ust. 1 ustawy o podatkach i opłatach lokalnych (t.j. Dz. U. z 2019 r. poz. 1170 oraz z 2018 r. poz. 2244) rada gminy w drodze uchwały określa wysokość stawek podatku od środków transportowych. Górne granice stawek kwotowych w podatku od środków transportowych określone w art. 10 ust. 1 cytowanej ustawy zgodnie z art. 20 ust. 1 obowiązujące w danym roku podatkowym ulegają corocznie zmianie na następny rok podatkowy w stopniu odpowiadającym wskaźnikowi cen towarów i usług konsumpcyjnych w okresie pierwszego półrocza roku, w którym stawki ulegają zmianie, w stosunku do analogicznego okresu roku poprzedniego. Wskaźnik cen ustala się na podstawie komunikatu Prezesa Głównego Urzędu Statystycznego, natomiast górne granice stawek kwotowych ogłasza w drodze obwieszczenia Minister właściwy do spraw finansów publicznych. Powyższe dane publikowane są w Dzienniku Urzędowym RP „Monitor Polski”. Ogłoszony przez Prezesa GUS wskaźnik w I półroczu 2020 r. w stosunku do I półrocza 2019 r. wyniósł 103,9 (M.P. poz. 625). Nastąpił wzrost cen o 3,9%. Tym samym ogłoszone przez Ministra Finansów górne granice stawek kwotowych podatków i opłat lokalnych na rok 2021 są wyższe o 3,9% w stosunku do górnych granic stawek kwotowych podatków i opłat lokalnych w roku 2020. </w:t>
      </w:r>
    </w:p>
    <w:p>
      <w:pPr>
        <w:pStyle w:val="Normal"/>
        <w:jc w:val="both"/>
        <w:rPr/>
      </w:pPr>
      <w:r>
        <w:rPr>
          <w:rFonts w:cs="Times New Roman"/>
          <w:sz w:val="24"/>
          <w:szCs w:val="24"/>
        </w:rPr>
        <w:t xml:space="preserve">W przedłożonym projekcie uchwały proponuje się utrzymanie stawek podatku od środków transportowych w roku 2021 na poziomie stawek ogłoszonych przez Ministra Finansów z dnia 23 lipca 2020 r.   </w:t>
      </w:r>
    </w:p>
    <w:p>
      <w:pPr>
        <w:pStyle w:val="Normal"/>
        <w:spacing w:lineRule="auto" w:line="240" w:before="0" w:after="0"/>
        <w:jc w:val="both"/>
        <w:rPr>
          <w:rFonts w:ascii="Times New Roman" w:hAnsi="Times New Roman" w:cs="Times New Roman"/>
          <w:sz w:val="24"/>
          <w:szCs w:val="24"/>
        </w:rPr>
      </w:pPr>
      <w:r>
        <w:rPr>
          <w:rFonts w:cs="Times New Roman"/>
          <w:sz w:val="24"/>
          <w:szCs w:val="24"/>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jc w:val="center"/>
        <w:rPr>
          <w:b/>
          <w:b/>
          <w:bCs/>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10</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ormal"/>
        <w:rPr/>
      </w:pPr>
      <w:r>
        <w:rPr/>
      </w:r>
    </w:p>
    <w:p>
      <w:pPr>
        <w:pStyle w:val="Normal"/>
        <w:spacing w:lineRule="auto" w:line="360"/>
        <w:jc w:val="center"/>
        <w:rPr>
          <w:b/>
          <w:b/>
          <w:sz w:val="20"/>
          <w:szCs w:val="20"/>
        </w:rPr>
      </w:pPr>
      <w:r>
        <w:rPr>
          <w:b/>
          <w:sz w:val="20"/>
          <w:szCs w:val="20"/>
        </w:rPr>
        <w:t>UCHWAŁA NR ….……../2020</w:t>
      </w:r>
    </w:p>
    <w:p>
      <w:pPr>
        <w:pStyle w:val="Normal"/>
        <w:spacing w:lineRule="auto" w:line="360"/>
        <w:jc w:val="center"/>
        <w:rPr>
          <w:b/>
          <w:b/>
          <w:sz w:val="20"/>
          <w:szCs w:val="20"/>
        </w:rPr>
      </w:pPr>
      <w:r>
        <w:rPr>
          <w:b/>
          <w:sz w:val="20"/>
          <w:szCs w:val="20"/>
        </w:rPr>
        <w:t>RADY GMINY KAMIENIEC ZĄBKOWICKI</w:t>
      </w:r>
    </w:p>
    <w:p>
      <w:pPr>
        <w:pStyle w:val="Normal"/>
        <w:spacing w:lineRule="auto" w:line="360"/>
        <w:jc w:val="center"/>
        <w:rPr>
          <w:b/>
          <w:b/>
          <w:sz w:val="20"/>
          <w:szCs w:val="20"/>
        </w:rPr>
      </w:pPr>
      <w:r>
        <w:rPr>
          <w:b/>
          <w:sz w:val="20"/>
          <w:szCs w:val="20"/>
        </w:rPr>
      </w:r>
    </w:p>
    <w:p>
      <w:pPr>
        <w:pStyle w:val="Normal"/>
        <w:spacing w:lineRule="auto" w:line="360"/>
        <w:jc w:val="center"/>
        <w:rPr>
          <w:sz w:val="20"/>
          <w:szCs w:val="20"/>
        </w:rPr>
      </w:pPr>
      <w:r>
        <w:rPr>
          <w:sz w:val="20"/>
          <w:szCs w:val="20"/>
        </w:rPr>
        <w:t>z dnia ……………. 2020 r.</w:t>
      </w:r>
    </w:p>
    <w:p>
      <w:pPr>
        <w:pStyle w:val="Normal"/>
        <w:spacing w:lineRule="auto" w:line="360"/>
        <w:jc w:val="center"/>
        <w:rPr>
          <w:sz w:val="20"/>
          <w:szCs w:val="20"/>
        </w:rPr>
      </w:pPr>
      <w:r>
        <w:rPr>
          <w:sz w:val="20"/>
          <w:szCs w:val="20"/>
        </w:rPr>
      </w:r>
    </w:p>
    <w:p>
      <w:pPr>
        <w:pStyle w:val="Normal"/>
        <w:spacing w:lineRule="auto" w:line="360"/>
        <w:jc w:val="both"/>
        <w:rPr>
          <w:b/>
          <w:b/>
          <w:sz w:val="20"/>
          <w:szCs w:val="20"/>
        </w:rPr>
      </w:pPr>
      <w:r>
        <w:rPr>
          <w:b/>
          <w:sz w:val="20"/>
          <w:szCs w:val="20"/>
        </w:rPr>
      </w:r>
    </w:p>
    <w:p>
      <w:pPr>
        <w:pStyle w:val="Normal"/>
        <w:spacing w:lineRule="auto" w:line="360"/>
        <w:jc w:val="both"/>
        <w:rPr/>
      </w:pPr>
      <w:r>
        <w:rPr>
          <w:b/>
          <w:sz w:val="20"/>
          <w:szCs w:val="20"/>
        </w:rPr>
        <w:t xml:space="preserve"> </w:t>
      </w:r>
      <w:r>
        <w:rPr>
          <w:b/>
          <w:sz w:val="20"/>
          <w:szCs w:val="20"/>
        </w:rPr>
        <w:t>o zmianie uchwały XXXIV/209/2017 Rady Gminy Kamieniec Ząbkowicki z dnia 27 luty 2017r.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w:t>
      </w:r>
    </w:p>
    <w:p>
      <w:pPr>
        <w:pStyle w:val="Normal"/>
        <w:spacing w:lineRule="auto" w:line="360"/>
        <w:rPr>
          <w:b/>
          <w:b/>
          <w:sz w:val="20"/>
          <w:szCs w:val="20"/>
        </w:rPr>
      </w:pPr>
      <w:r>
        <w:rPr>
          <w:b/>
          <w:sz w:val="20"/>
          <w:szCs w:val="20"/>
        </w:rPr>
      </w:r>
    </w:p>
    <w:p>
      <w:pPr>
        <w:pStyle w:val="Normal"/>
        <w:spacing w:lineRule="auto" w:line="360"/>
        <w:jc w:val="both"/>
        <w:rPr/>
      </w:pPr>
      <w:r>
        <w:rPr>
          <w:sz w:val="20"/>
          <w:szCs w:val="20"/>
        </w:rPr>
        <w:t xml:space="preserve">       </w:t>
      </w:r>
      <w:r>
        <w:rPr>
          <w:sz w:val="20"/>
          <w:szCs w:val="20"/>
        </w:rPr>
        <w:t>Na podstawie art. 7 ust. 1 pkt 6, art. 18 ust. 2 pkt 15 ustawy z dnia 8 marca 1990 r. o samorządzie gminnym (Dz. U. z 2020 r. poz. 713 ze zm.) oraz art. 50 ust. 6 ustawy z dnia 12 marca 2004 r. o pomocy społecznej (Dz. U. z 2019 r. poz. 1507 ze zm.) uchwala się co następuje:</w:t>
      </w:r>
    </w:p>
    <w:p>
      <w:pPr>
        <w:pStyle w:val="Normal"/>
        <w:spacing w:lineRule="auto" w:line="360"/>
        <w:jc w:val="both"/>
        <w:rPr/>
      </w:pPr>
      <w:r>
        <w:rPr>
          <w:b/>
          <w:sz w:val="20"/>
          <w:szCs w:val="20"/>
        </w:rPr>
        <w:t>§ 1.</w:t>
      </w:r>
      <w:r>
        <w:rPr>
          <w:sz w:val="20"/>
          <w:szCs w:val="20"/>
        </w:rPr>
        <w:t xml:space="preserve"> W uchwale  XXXIV/209/2017 Rady Gminy Kamieniec Ząbkowicki z dnia 27 luty 2017r.  w sprawie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 jak również trybu ich pobierania wprowadza się następujące zmiany:</w:t>
      </w:r>
    </w:p>
    <w:p>
      <w:pPr>
        <w:pStyle w:val="Normal"/>
        <w:spacing w:lineRule="auto" w:line="360"/>
        <w:jc w:val="both"/>
        <w:rPr>
          <w:sz w:val="20"/>
          <w:szCs w:val="20"/>
        </w:rPr>
      </w:pPr>
      <w:r>
        <w:rPr>
          <w:sz w:val="20"/>
          <w:szCs w:val="20"/>
        </w:rPr>
        <w:t>1) § 4 ust. 1 otrzymuje brzmienie:</w:t>
      </w:r>
    </w:p>
    <w:p>
      <w:pPr>
        <w:pStyle w:val="Normal"/>
        <w:spacing w:lineRule="auto" w:line="360"/>
        <w:jc w:val="both"/>
        <w:rPr/>
      </w:pPr>
      <w:r>
        <w:rPr>
          <w:sz w:val="20"/>
          <w:szCs w:val="20"/>
        </w:rPr>
        <w:t xml:space="preserve">     „</w:t>
      </w:r>
      <w:r>
        <w:rPr>
          <w:sz w:val="20"/>
          <w:szCs w:val="20"/>
        </w:rPr>
        <w:t>1.Ustala się koszt 1 godziny świadczonych usług opiekuńczych w wysokości 21,50 zł (dwadzieścia jeden złotych pięćdziesiąt groszy).”</w:t>
      </w:r>
    </w:p>
    <w:p>
      <w:pPr>
        <w:pStyle w:val="Normal"/>
        <w:spacing w:lineRule="auto" w:line="360"/>
        <w:jc w:val="both"/>
        <w:rPr/>
      </w:pPr>
      <w:r>
        <w:rPr>
          <w:b/>
          <w:sz w:val="20"/>
          <w:szCs w:val="20"/>
        </w:rPr>
        <w:t>§ 2</w:t>
      </w:r>
      <w:r>
        <w:rPr>
          <w:sz w:val="20"/>
          <w:szCs w:val="20"/>
        </w:rPr>
        <w:t>. Wykonanie uchwały powierza się Wójtowi Gminy Kamieniec Ząbkowicki</w:t>
      </w:r>
    </w:p>
    <w:p>
      <w:pPr>
        <w:pStyle w:val="Normal"/>
        <w:spacing w:lineRule="auto" w:line="360"/>
        <w:jc w:val="both"/>
        <w:rPr/>
      </w:pPr>
      <w:r>
        <w:rPr>
          <w:b/>
          <w:sz w:val="20"/>
          <w:szCs w:val="20"/>
        </w:rPr>
        <w:t xml:space="preserve">§ 3. </w:t>
      </w:r>
      <w:r>
        <w:rPr>
          <w:sz w:val="20"/>
          <w:szCs w:val="20"/>
        </w:rPr>
        <w:t xml:space="preserve">Uchwała wchodzi w życie po upływie 14 dni od dnia ogłoszenia w Dzienniku Urzędowym Województwa Dolnośląskiego, z mocą obowiązującą od dnia 01 stycznia 2021 r. </w:t>
      </w:r>
    </w:p>
    <w:p>
      <w:pPr>
        <w:pStyle w:val="Normal"/>
        <w:rPr>
          <w:sz w:val="22"/>
          <w:szCs w:val="22"/>
        </w:rPr>
      </w:pPr>
      <w:r>
        <w:rPr>
          <w:sz w:val="22"/>
          <w:szCs w:val="22"/>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jc w:val="center"/>
        <w:rPr>
          <w:b/>
          <w:b/>
          <w:sz w:val="22"/>
          <w:szCs w:val="22"/>
        </w:rPr>
      </w:pPr>
      <w:r>
        <w:rPr>
          <w:b/>
          <w:sz w:val="22"/>
          <w:szCs w:val="22"/>
        </w:rPr>
        <w:t>Uzasadnienie</w:t>
      </w:r>
    </w:p>
    <w:p>
      <w:pPr>
        <w:pStyle w:val="Normal"/>
        <w:jc w:val="center"/>
        <w:rPr>
          <w:b/>
          <w:b/>
          <w:sz w:val="22"/>
          <w:szCs w:val="22"/>
        </w:rPr>
      </w:pPr>
      <w:r>
        <w:rPr>
          <w:b/>
          <w:sz w:val="22"/>
          <w:szCs w:val="22"/>
        </w:rPr>
      </w:r>
    </w:p>
    <w:p>
      <w:pPr>
        <w:pStyle w:val="Normal"/>
        <w:jc w:val="both"/>
        <w:rPr>
          <w:sz w:val="22"/>
          <w:szCs w:val="22"/>
        </w:rPr>
      </w:pPr>
      <w:r>
        <w:rPr>
          <w:sz w:val="22"/>
          <w:szCs w:val="22"/>
        </w:rPr>
        <w:t>Zgodnie z art. 17 ust. 1 pkt 11 ustawy z dnia 12 marca 2004 r. o pomocy społecznej (Dz. U. z 2019 r. poz. 1507 ze zm.) do zadań własnych gminy o charakterze obowiązkowym należy organizowanie        i świadczenie usług opiekuńczych, w tym specjalistycznych, w miejscu zamieszkania , z wyłączeniem specjalistycznych usług opiekuńczych dla osób z zaburzeniami psychicznymi. Na podstawie art. 50 ust. 6 ww. ustawy Rada Gminy określa w drodze uchwały szczegółowe warunki przyznawania i odpłatność za usługi opiekuńcze i specjalistyczne usługi opiekuńcze, z wyłączeniem specjalistycznych usług opiekuńczych dla osób z zaburzeniami psychicznymi oraz szczegółowe warunki częściowego lub całkowitego zwolnienia od opłat jak również trybu ich pobierania.</w:t>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jc w:val="both"/>
        <w:rPr/>
      </w:pPr>
      <w:r>
        <w:rPr>
          <w:sz w:val="22"/>
          <w:szCs w:val="22"/>
        </w:rPr>
        <w:t xml:space="preserve">W związku z Rozporządzeniem Rady Ministrów z dnia  16 września 2020 r. (Dz. U. z 2020r. poz. 1596) w sprawie wysokości minimalnego wynagrodzenia za pracę oraz wysokości minimalnej stawki godzinowej w 2021r. konieczna jest zmiana stawki za 1 godzinę świadczonych usług opiekuńczych, co uzasadnia przyjęcie niniejszej uchwały. </w:t>
      </w:r>
    </w:p>
    <w:p>
      <w:pPr>
        <w:pStyle w:val="Normal"/>
        <w:spacing w:lineRule="auto" w:line="240"/>
        <w:rPr/>
      </w:pPr>
      <w:r>
        <w:rPr>
          <w:sz w:val="18"/>
          <w:szCs w:val="18"/>
        </w:rPr>
        <w:t xml:space="preserve">                                                                                                                             </w:t>
      </w:r>
      <w:r>
        <w:rPr>
          <w:sz w:val="18"/>
          <w:szCs w:val="18"/>
        </w:rPr>
        <w:t xml:space="preserve">Załącznik Nr </w:t>
      </w:r>
      <w:r>
        <w:rPr>
          <w:sz w:val="18"/>
          <w:szCs w:val="18"/>
        </w:rPr>
        <w:t>11</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rPr/>
      </w:pPr>
      <w:r>
        <w:rPr/>
      </w:r>
    </w:p>
    <w:p>
      <w:pPr>
        <w:pStyle w:val="Nagwek"/>
        <w:rPr/>
      </w:pPr>
      <w:r>
        <w:rPr/>
        <w:t xml:space="preserve">                                             </w:t>
      </w:r>
      <w:r>
        <w:rPr/>
        <w:t xml:space="preserve">UCHWAŁA  Nr </w:t>
      </w:r>
    </w:p>
    <w:p>
      <w:pPr>
        <w:pStyle w:val="Normal"/>
        <w:jc w:val="center"/>
        <w:rPr/>
      </w:pPr>
      <w:r>
        <w:rPr>
          <w:b/>
          <w:color w:val="000000"/>
          <w:sz w:val="24"/>
          <w:szCs w:val="24"/>
        </w:rPr>
        <w:t xml:space="preserve"> </w:t>
      </w:r>
      <w:r>
        <w:rPr>
          <w:b/>
          <w:color w:val="000000"/>
          <w:sz w:val="24"/>
          <w:szCs w:val="24"/>
        </w:rPr>
        <w:t>Rady Gminy  Kamieniec Ząbkowicki</w:t>
      </w:r>
    </w:p>
    <w:p>
      <w:pPr>
        <w:pStyle w:val="Normal"/>
        <w:jc w:val="center"/>
        <w:rPr/>
      </w:pPr>
      <w:r>
        <w:rPr>
          <w:b/>
          <w:color w:val="000000"/>
          <w:sz w:val="24"/>
          <w:szCs w:val="24"/>
        </w:rPr>
        <w:t xml:space="preserve">z dnia </w:t>
      </w:r>
    </w:p>
    <w:p>
      <w:pPr>
        <w:pStyle w:val="Normal"/>
        <w:jc w:val="center"/>
        <w:rPr>
          <w:b/>
          <w:b/>
          <w:color w:val="000000"/>
          <w:sz w:val="24"/>
          <w:szCs w:val="24"/>
        </w:rPr>
      </w:pPr>
      <w:r>
        <w:rPr>
          <w:b/>
          <w:color w:val="000000"/>
          <w:sz w:val="24"/>
          <w:szCs w:val="24"/>
        </w:rPr>
      </w:r>
    </w:p>
    <w:p>
      <w:pPr>
        <w:pStyle w:val="Normal"/>
        <w:jc w:val="center"/>
        <w:rPr>
          <w:b/>
          <w:b/>
          <w:color w:val="000000"/>
          <w:sz w:val="24"/>
          <w:szCs w:val="24"/>
        </w:rPr>
      </w:pPr>
      <w:r>
        <w:rPr>
          <w:b/>
          <w:color w:val="000000"/>
          <w:sz w:val="24"/>
          <w:szCs w:val="24"/>
        </w:rPr>
        <w:t>w sprawie określenia zasad udzielania dotacji na prace konserwatorskie, restauratorskie lub roboty budowlane przy zabytku wpisanym do rejestru zabytków.</w:t>
      </w:r>
    </w:p>
    <w:p>
      <w:pPr>
        <w:pStyle w:val="Normal"/>
        <w:jc w:val="center"/>
        <w:rPr>
          <w:color w:val="000000"/>
          <w:sz w:val="26"/>
          <w:szCs w:val="24"/>
        </w:rPr>
      </w:pPr>
      <w:r>
        <w:rPr>
          <w:color w:val="000000"/>
          <w:sz w:val="26"/>
          <w:szCs w:val="24"/>
        </w:rPr>
      </w:r>
    </w:p>
    <w:p>
      <w:pPr>
        <w:pStyle w:val="Nagwek3"/>
        <w:jc w:val="both"/>
        <w:rPr/>
      </w:pPr>
      <w:r>
        <w:rPr>
          <w:b w:val="false"/>
          <w:color w:val="000000"/>
          <w:sz w:val="24"/>
          <w:szCs w:val="24"/>
        </w:rPr>
        <w:t>Na podstawie art. 81 ust. 1 ustawy z dnia 23 lipca 2003 r. o ochronie zabytków i opiece nad zabytkami (</w:t>
      </w:r>
      <w:r>
        <w:rPr>
          <w:rStyle w:val="Ngbindingngscope"/>
          <w:b/>
          <w:color w:val="000000"/>
          <w:sz w:val="24"/>
          <w:szCs w:val="24"/>
        </w:rPr>
        <w:t>Dz.U.2020.282 t.j.</w:t>
      </w:r>
      <w:r>
        <w:rPr>
          <w:b w:val="false"/>
          <w:color w:val="000000"/>
          <w:sz w:val="24"/>
          <w:szCs w:val="24"/>
        </w:rPr>
        <w:t>) w związku z art. 18 ust. 2 pkt 15 i art. 40 ust. 1 ustawy z dnia 8 marca 1990 r. o samorządzie gminnym (</w:t>
      </w:r>
      <w:r>
        <w:rPr>
          <w:rStyle w:val="Ngbindingngscope"/>
          <w:b/>
          <w:color w:val="000000"/>
          <w:sz w:val="24"/>
          <w:szCs w:val="24"/>
        </w:rPr>
        <w:t>Dz.U.2020.713 t.j.</w:t>
      </w:r>
      <w:r>
        <w:rPr>
          <w:b w:val="false"/>
          <w:color w:val="000000"/>
          <w:sz w:val="24"/>
          <w:szCs w:val="24"/>
        </w:rPr>
        <w:t>) - Rada Gminy  Kamieniec Ząbkowicki uchwala, co następuje:</w:t>
      </w:r>
    </w:p>
    <w:p>
      <w:pPr>
        <w:pStyle w:val="Normal"/>
        <w:jc w:val="center"/>
        <w:rPr>
          <w:b/>
          <w:b/>
          <w:color w:val="000000"/>
          <w:sz w:val="24"/>
          <w:szCs w:val="24"/>
        </w:rPr>
      </w:pPr>
      <w:r>
        <w:rPr>
          <w:b/>
          <w:color w:val="000000"/>
          <w:sz w:val="24"/>
          <w:szCs w:val="24"/>
        </w:rPr>
        <w:t>§ 1.</w:t>
      </w:r>
    </w:p>
    <w:p>
      <w:pPr>
        <w:pStyle w:val="Normal"/>
        <w:ind w:firstLine="360"/>
        <w:jc w:val="both"/>
        <w:rPr>
          <w:color w:val="000000"/>
          <w:sz w:val="24"/>
          <w:szCs w:val="24"/>
        </w:rPr>
      </w:pPr>
      <w:r>
        <w:rPr>
          <w:color w:val="000000"/>
          <w:sz w:val="24"/>
          <w:szCs w:val="24"/>
        </w:rPr>
        <w:t>1. Ustanawia się:</w:t>
      </w:r>
    </w:p>
    <w:p>
      <w:pPr>
        <w:pStyle w:val="Normal"/>
        <w:numPr>
          <w:ilvl w:val="0"/>
          <w:numId w:val="13"/>
        </w:numPr>
        <w:jc w:val="both"/>
        <w:rPr/>
      </w:pPr>
      <w:r>
        <w:rPr>
          <w:color w:val="000000"/>
          <w:sz w:val="24"/>
          <w:szCs w:val="24"/>
        </w:rPr>
        <w:t>warunki ubiegania się o dotacje na prace konserwatorskie, restauratorskie i roboty budowlane przy zabytku wpisanym do rejestru zabytków lub znajdującym się w gminnej ewidencji zabytków;</w:t>
      </w:r>
    </w:p>
    <w:p>
      <w:pPr>
        <w:pStyle w:val="Normal"/>
        <w:numPr>
          <w:ilvl w:val="0"/>
          <w:numId w:val="13"/>
        </w:numPr>
        <w:jc w:val="both"/>
        <w:rPr>
          <w:color w:val="000000"/>
          <w:sz w:val="24"/>
          <w:szCs w:val="24"/>
        </w:rPr>
      </w:pPr>
      <w:r>
        <w:rPr>
          <w:color w:val="000000"/>
          <w:sz w:val="24"/>
          <w:szCs w:val="24"/>
        </w:rPr>
        <w:t>rodzaj danych i informacji, które należy zawrzeć we wniosku o dotację;</w:t>
      </w:r>
    </w:p>
    <w:p>
      <w:pPr>
        <w:pStyle w:val="Normal"/>
        <w:numPr>
          <w:ilvl w:val="0"/>
          <w:numId w:val="13"/>
        </w:numPr>
        <w:jc w:val="both"/>
        <w:rPr>
          <w:color w:val="000000"/>
          <w:sz w:val="24"/>
          <w:szCs w:val="24"/>
        </w:rPr>
      </w:pPr>
      <w:r>
        <w:rPr>
          <w:color w:val="000000"/>
          <w:sz w:val="24"/>
          <w:szCs w:val="24"/>
        </w:rPr>
        <w:t>tryb postępowania z wnioskiem o udzielenie dotacji;</w:t>
      </w:r>
    </w:p>
    <w:p>
      <w:pPr>
        <w:pStyle w:val="Normal"/>
        <w:numPr>
          <w:ilvl w:val="0"/>
          <w:numId w:val="13"/>
        </w:numPr>
        <w:jc w:val="both"/>
        <w:rPr>
          <w:color w:val="000000"/>
          <w:sz w:val="24"/>
          <w:szCs w:val="24"/>
        </w:rPr>
      </w:pPr>
      <w:r>
        <w:rPr>
          <w:color w:val="000000"/>
          <w:sz w:val="24"/>
          <w:szCs w:val="24"/>
        </w:rPr>
        <w:t>postanowienia, jakie winna zawierać umowa o udzielenie dotacji,</w:t>
      </w:r>
    </w:p>
    <w:p>
      <w:pPr>
        <w:pStyle w:val="Normal"/>
        <w:numPr>
          <w:ilvl w:val="0"/>
          <w:numId w:val="13"/>
        </w:numPr>
        <w:jc w:val="both"/>
        <w:rPr/>
      </w:pPr>
      <w:r>
        <w:rPr>
          <w:color w:val="000000"/>
          <w:sz w:val="24"/>
          <w:szCs w:val="24"/>
        </w:rPr>
        <w:t>zasady rozliczania dotacji, kontroli rozliczenia i zwrotu dotacji do budżetu  Gminy Kamieniec Ząbkowicki,</w:t>
      </w:r>
    </w:p>
    <w:p>
      <w:pPr>
        <w:pStyle w:val="Normal"/>
        <w:numPr>
          <w:ilvl w:val="0"/>
          <w:numId w:val="13"/>
        </w:numPr>
        <w:jc w:val="both"/>
        <w:rPr>
          <w:color w:val="000000"/>
          <w:sz w:val="24"/>
          <w:szCs w:val="24"/>
        </w:rPr>
      </w:pPr>
      <w:r>
        <w:rPr>
          <w:color w:val="000000"/>
          <w:sz w:val="24"/>
          <w:szCs w:val="24"/>
        </w:rPr>
        <w:t>sposób ewidencjonowania i upowszechniania informacji o udzielonych dotacjach.</w:t>
      </w:r>
    </w:p>
    <w:p>
      <w:pPr>
        <w:pStyle w:val="Wcicietrecitekstu"/>
        <w:rPr/>
      </w:pPr>
      <w:r>
        <w:rPr>
          <w:sz w:val="24"/>
          <w:szCs w:val="24"/>
        </w:rPr>
        <w:t>2. Znaczenie użytej w uchwale terminologii dotyczącej zabytków lub czynności z nimi związanych określają przepisy ustawy z dnia 23 lipca 2003 r. o ochronie zabytków i opiece nad zabytkami (</w:t>
      </w:r>
      <w:r>
        <w:rPr>
          <w:rStyle w:val="Ngbindingngscope"/>
          <w:sz w:val="24"/>
          <w:szCs w:val="24"/>
        </w:rPr>
        <w:t>Dz.U.2020.282 t.j.</w:t>
      </w:r>
      <w:r>
        <w:rPr>
          <w:sz w:val="24"/>
          <w:szCs w:val="24"/>
        </w:rPr>
        <w:t>) oraz rozporządzeń wydanych na podstawie tej ustawy.</w:t>
      </w:r>
    </w:p>
    <w:p>
      <w:pPr>
        <w:pStyle w:val="Normal"/>
        <w:ind w:firstLine="360"/>
        <w:jc w:val="both"/>
        <w:rPr>
          <w:color w:val="000000"/>
          <w:sz w:val="24"/>
          <w:szCs w:val="24"/>
        </w:rPr>
      </w:pPr>
      <w:r>
        <w:rPr>
          <w:color w:val="000000"/>
          <w:sz w:val="24"/>
          <w:szCs w:val="24"/>
        </w:rPr>
        <w:t xml:space="preserve">3. Ilekroć w uchwale jest mowa o: </w:t>
      </w:r>
    </w:p>
    <w:p>
      <w:pPr>
        <w:pStyle w:val="Normal"/>
        <w:numPr>
          <w:ilvl w:val="0"/>
          <w:numId w:val="5"/>
        </w:numPr>
        <w:tabs>
          <w:tab w:val="clear" w:pos="708"/>
          <w:tab w:val="left" w:pos="720" w:leader="none"/>
        </w:tabs>
        <w:ind w:left="720" w:hanging="360"/>
        <w:jc w:val="both"/>
        <w:rPr/>
      </w:pPr>
      <w:r>
        <w:rPr>
          <w:color w:val="000000"/>
          <w:sz w:val="24"/>
          <w:szCs w:val="24"/>
        </w:rPr>
        <w:t>pracach lub robotach budowlanych przy zabytku – należy przez to rozumieć prace konserwatorskie, restauratorskie lub roboty budowlane przy zabytku wpisanym do rejestru zabytków prowadzonym przez Dolnośląskiego Wojewódzkiego Konserwatora Zabytków we Wrocławiu lub znajdującym się w gminnej ewidencji zabytków,</w:t>
      </w:r>
    </w:p>
    <w:p>
      <w:pPr>
        <w:pStyle w:val="Normal"/>
        <w:numPr>
          <w:ilvl w:val="0"/>
          <w:numId w:val="5"/>
        </w:numPr>
        <w:tabs>
          <w:tab w:val="clear" w:pos="708"/>
          <w:tab w:val="left" w:pos="720" w:leader="none"/>
        </w:tabs>
        <w:ind w:left="720" w:hanging="360"/>
        <w:jc w:val="both"/>
        <w:rPr/>
      </w:pPr>
      <w:r>
        <w:rPr>
          <w:sz w:val="24"/>
          <w:szCs w:val="24"/>
        </w:rPr>
        <w:t>beneficjencie</w:t>
      </w:r>
      <w:r>
        <w:rPr>
          <w:color w:val="000000"/>
          <w:sz w:val="24"/>
          <w:szCs w:val="24"/>
        </w:rPr>
        <w:t xml:space="preserve"> – należy przez to rozumieć podmiot, któremu na zasadach określonych niniejszą uchwałą na prace lub roboty budowlane przy zabytku przyznano dotację z budżetu Gminy Kamieniec Ząbkowicki,</w:t>
      </w:r>
    </w:p>
    <w:p>
      <w:pPr>
        <w:pStyle w:val="Normal"/>
        <w:numPr>
          <w:ilvl w:val="0"/>
          <w:numId w:val="5"/>
        </w:numPr>
        <w:tabs>
          <w:tab w:val="clear" w:pos="708"/>
          <w:tab w:val="left" w:pos="720" w:leader="none"/>
        </w:tabs>
        <w:ind w:left="720" w:hanging="360"/>
        <w:jc w:val="both"/>
        <w:rPr>
          <w:color w:val="000000"/>
          <w:sz w:val="24"/>
          <w:szCs w:val="24"/>
        </w:rPr>
      </w:pPr>
      <w:r>
        <w:rPr>
          <w:color w:val="000000"/>
          <w:sz w:val="24"/>
          <w:szCs w:val="24"/>
        </w:rPr>
        <w:t>środkach publicznych – należy przez to rozumieć środki finansowe określone przepisami prawa finansów publicznych.</w:t>
      </w:r>
    </w:p>
    <w:p>
      <w:pPr>
        <w:pStyle w:val="Normal"/>
        <w:jc w:val="center"/>
        <w:rPr>
          <w:b/>
          <w:b/>
          <w:color w:val="000000"/>
          <w:sz w:val="24"/>
          <w:szCs w:val="24"/>
        </w:rPr>
      </w:pPr>
      <w:r>
        <w:rPr>
          <w:b/>
          <w:color w:val="000000"/>
          <w:sz w:val="24"/>
          <w:szCs w:val="24"/>
        </w:rPr>
        <w:t>§ 2.</w:t>
      </w:r>
    </w:p>
    <w:p>
      <w:pPr>
        <w:pStyle w:val="Normal"/>
        <w:ind w:firstLine="431"/>
        <w:jc w:val="both"/>
        <w:rPr/>
      </w:pPr>
      <w:r>
        <w:rPr>
          <w:color w:val="000000"/>
          <w:sz w:val="24"/>
          <w:szCs w:val="24"/>
        </w:rPr>
        <w:t>1. Z budżetu Gminy Kamieniec Ząbkowicki mogą być udzielane dotacje celowe na prace lub roboty budowlane przy zabytku, jeżeli zabytek ten łącznie spełnia następujące kryteria:</w:t>
      </w:r>
    </w:p>
    <w:p>
      <w:pPr>
        <w:pStyle w:val="Normal"/>
        <w:numPr>
          <w:ilvl w:val="0"/>
          <w:numId w:val="8"/>
        </w:numPr>
        <w:jc w:val="both"/>
        <w:rPr/>
      </w:pPr>
      <w:r>
        <w:rPr>
          <w:color w:val="000000"/>
          <w:sz w:val="24"/>
          <w:szCs w:val="24"/>
        </w:rPr>
        <w:t>znajduje się na stałe na obszarze Gminy Kamieniec Ząbkowicki,</w:t>
      </w:r>
    </w:p>
    <w:p>
      <w:pPr>
        <w:pStyle w:val="Normal"/>
        <w:numPr>
          <w:ilvl w:val="0"/>
          <w:numId w:val="8"/>
        </w:numPr>
        <w:jc w:val="both"/>
        <w:rPr/>
      </w:pPr>
      <w:r>
        <w:rPr>
          <w:color w:val="000000"/>
          <w:sz w:val="24"/>
          <w:szCs w:val="24"/>
        </w:rPr>
        <w:t>jest w złym stanie technicznym,</w:t>
      </w:r>
    </w:p>
    <w:p>
      <w:pPr>
        <w:pStyle w:val="Normal"/>
        <w:numPr>
          <w:ilvl w:val="0"/>
          <w:numId w:val="8"/>
        </w:numPr>
        <w:jc w:val="both"/>
        <w:rPr/>
      </w:pPr>
      <w:r>
        <w:rPr>
          <w:color w:val="000000"/>
          <w:sz w:val="24"/>
          <w:szCs w:val="24"/>
        </w:rPr>
        <w:t>posiada istotne znaczenie historyczne, artystyczne lub kulturowe dla mieszkańców Gminy Kamieniec Ząbkowicki.</w:t>
      </w:r>
    </w:p>
    <w:p>
      <w:pPr>
        <w:pStyle w:val="Normal"/>
        <w:ind w:firstLine="431"/>
        <w:jc w:val="both"/>
        <w:rPr/>
      </w:pPr>
      <w:r>
        <w:rPr>
          <w:color w:val="000000"/>
          <w:sz w:val="24"/>
          <w:szCs w:val="24"/>
        </w:rPr>
        <w:t>2. Dotacja na prace lub roboty budowlane przy zabytku może finansować nakłady określone w przepisie art. 77 ustawy z dnia 23 lipca 2003r. o ochronie zabytków i opiece nad zabytkami.</w:t>
      </w:r>
    </w:p>
    <w:p>
      <w:pPr>
        <w:pStyle w:val="Normal"/>
        <w:ind w:firstLine="431"/>
        <w:jc w:val="both"/>
        <w:rPr>
          <w:color w:val="000000"/>
          <w:sz w:val="24"/>
          <w:szCs w:val="24"/>
        </w:rPr>
      </w:pPr>
      <w:r>
        <w:rPr>
          <w:color w:val="000000"/>
          <w:sz w:val="24"/>
          <w:szCs w:val="24"/>
        </w:rPr>
      </w:r>
    </w:p>
    <w:p>
      <w:pPr>
        <w:pStyle w:val="Normal"/>
        <w:ind w:firstLine="431"/>
        <w:jc w:val="center"/>
        <w:rPr>
          <w:b/>
          <w:b/>
          <w:color w:val="000000"/>
          <w:sz w:val="24"/>
          <w:szCs w:val="24"/>
        </w:rPr>
      </w:pPr>
      <w:r>
        <w:rPr>
          <w:b/>
          <w:color w:val="000000"/>
          <w:sz w:val="24"/>
          <w:szCs w:val="24"/>
        </w:rPr>
        <w:t>§ 3.</w:t>
      </w:r>
    </w:p>
    <w:p>
      <w:pPr>
        <w:pStyle w:val="Normal"/>
        <w:ind w:firstLine="431"/>
        <w:jc w:val="both"/>
        <w:rPr/>
      </w:pPr>
      <w:r>
        <w:rPr>
          <w:b/>
          <w:color w:val="000000"/>
          <w:sz w:val="24"/>
          <w:szCs w:val="24"/>
        </w:rPr>
        <w:t xml:space="preserve"> </w:t>
      </w:r>
      <w:r>
        <w:rPr>
          <w:color w:val="000000"/>
          <w:sz w:val="24"/>
          <w:szCs w:val="24"/>
        </w:rPr>
        <w:t>1. O dotację może się ubiegać podmiot będący właścicielem lub posiadaczem zabytku, a także podmiot, który do tego zabytku posiada tytuł prawny wynikający z użytkowania wieczystego, ograniczonego prawa rzeczowego, trwałego zarządu oraz stosunku zobowiązaniowego.</w:t>
      </w:r>
    </w:p>
    <w:p>
      <w:pPr>
        <w:pStyle w:val="Normal"/>
        <w:ind w:hanging="0"/>
        <w:jc w:val="both"/>
        <w:rPr>
          <w:color w:val="000000"/>
          <w:sz w:val="24"/>
          <w:szCs w:val="24"/>
        </w:rPr>
      </w:pPr>
      <w:r>
        <w:rPr>
          <w:color w:val="000000"/>
          <w:sz w:val="24"/>
          <w:szCs w:val="24"/>
        </w:rPr>
        <w:t>2. Dotacja może być udzielona na sfinansowanie lub refinansowanie prac lub robót budowlanych przy zabytku, które wnioskodawca zamierza wykonać:</w:t>
      </w:r>
    </w:p>
    <w:p>
      <w:pPr>
        <w:pStyle w:val="Normal"/>
        <w:numPr>
          <w:ilvl w:val="0"/>
          <w:numId w:val="4"/>
        </w:numPr>
        <w:jc w:val="both"/>
        <w:rPr>
          <w:color w:val="000000"/>
          <w:sz w:val="24"/>
          <w:szCs w:val="24"/>
        </w:rPr>
      </w:pPr>
      <w:r>
        <w:rPr>
          <w:color w:val="000000"/>
          <w:sz w:val="24"/>
          <w:szCs w:val="24"/>
        </w:rPr>
        <w:t xml:space="preserve">w roku złożenia wniosku o udzielenie dotacji, </w:t>
      </w:r>
    </w:p>
    <w:p>
      <w:pPr>
        <w:pStyle w:val="Normal"/>
        <w:numPr>
          <w:ilvl w:val="0"/>
          <w:numId w:val="4"/>
        </w:numPr>
        <w:jc w:val="both"/>
        <w:rPr>
          <w:color w:val="000000"/>
          <w:sz w:val="24"/>
          <w:szCs w:val="24"/>
        </w:rPr>
      </w:pPr>
      <w:r>
        <w:rPr>
          <w:color w:val="000000"/>
          <w:sz w:val="24"/>
          <w:szCs w:val="24"/>
        </w:rPr>
        <w:t>w roku złożenia wniosku i w roku następnym.</w:t>
      </w:r>
    </w:p>
    <w:p>
      <w:pPr>
        <w:pStyle w:val="Normal"/>
        <w:ind w:hanging="0"/>
        <w:jc w:val="both"/>
        <w:rPr>
          <w:color w:val="000000"/>
          <w:sz w:val="24"/>
          <w:szCs w:val="24"/>
        </w:rPr>
      </w:pPr>
      <w:r>
        <w:rPr>
          <w:color w:val="000000"/>
          <w:sz w:val="24"/>
          <w:szCs w:val="24"/>
        </w:rPr>
        <w:t>3. Na zasadach określonych w niniejszej uchwale wnioskodawca może równocześnie wystąpić z kilkoma wnioskami o dotacje do prac lub robót budowlanych przy więcej niż jednym zabytku.</w:t>
      </w:r>
    </w:p>
    <w:p>
      <w:pPr>
        <w:pStyle w:val="Normal"/>
        <w:jc w:val="center"/>
        <w:rPr>
          <w:b/>
          <w:b/>
          <w:color w:val="000000"/>
          <w:sz w:val="24"/>
          <w:szCs w:val="24"/>
        </w:rPr>
      </w:pPr>
      <w:r>
        <w:rPr>
          <w:b/>
          <w:color w:val="000000"/>
          <w:sz w:val="24"/>
          <w:szCs w:val="24"/>
        </w:rPr>
        <w:t>§ 4.</w:t>
      </w:r>
    </w:p>
    <w:p>
      <w:pPr>
        <w:pStyle w:val="Normal"/>
        <w:ind w:firstLine="431"/>
        <w:jc w:val="both"/>
        <w:rPr/>
      </w:pPr>
      <w:r>
        <w:rPr>
          <w:color w:val="000000"/>
          <w:sz w:val="24"/>
          <w:szCs w:val="24"/>
        </w:rPr>
        <w:t> </w:t>
      </w:r>
      <w:r>
        <w:rPr>
          <w:color w:val="000000"/>
          <w:sz w:val="24"/>
          <w:szCs w:val="24"/>
        </w:rPr>
        <w:t>1. Dotacja z budżetu Gminy Kamieniec Ząbkowicki na wykonanie prac lub robót budowlanych przy jednym i tym samym zabytku może być udzielona w wysokości do 90 % ogółu nakładów na te prace lub roboty.</w:t>
      </w:r>
    </w:p>
    <w:p>
      <w:pPr>
        <w:pStyle w:val="Normal"/>
        <w:ind w:firstLine="431"/>
        <w:jc w:val="both"/>
        <w:rPr/>
      </w:pPr>
      <w:r>
        <w:rPr>
          <w:color w:val="000000"/>
          <w:sz w:val="24"/>
          <w:szCs w:val="24"/>
        </w:rPr>
        <w:t>2. Jeżeli zabytek posiada wyjątkową wartość historyczną, artystyczną lub naukową albo wymaga przeprowadzenia złożonych pod względem technologicznym prac konserwatorskich, restauratorskich lub robót budowlanych, albo gdy sytuacja wymaga niezwłocznego podjęcia prac lub robót budowlanych przy zabytku - dotacja może być udzielona w wysokości do 100 % nakładów koniecznych na wykonanie tych prac lub robót budowlanych.</w:t>
      </w:r>
    </w:p>
    <w:p>
      <w:pPr>
        <w:pStyle w:val="Normal"/>
        <w:ind w:firstLine="431"/>
        <w:jc w:val="both"/>
        <w:rPr/>
      </w:pPr>
      <w:r>
        <w:rPr>
          <w:color w:val="000000"/>
          <w:sz w:val="24"/>
          <w:szCs w:val="24"/>
        </w:rPr>
        <w:t xml:space="preserve">3. W przypadku, gdy beneficjent na prace lub roboty budowlane przy zabytku otrzymuje również inne środki publiczne, kwota dotacji przyznanej z budżetu Gminy Kamieniec Ząbkowicki wraz z kwotami przyznanych na ten cel innych środków publicznych nie może przekraczać </w:t>
      </w:r>
      <w:r>
        <w:fldChar w:fldCharType="begin">
          <w:ffData>
            <w:name w:val="Tekst16"/>
            <w:enabled/>
            <w:calcOnExit w:val="0"/>
            <w:textInput/>
          </w:ffData>
        </w:fldChar>
      </w:r>
      <w:r>
        <w:rPr>
          <w:sz w:val="24"/>
          <w:szCs w:val="24"/>
        </w:rPr>
        <w:instrText> FORMTEXT </w:instrText>
      </w:r>
      <w:r>
        <w:rPr>
          <w:sz w:val="24"/>
          <w:szCs w:val="24"/>
        </w:rPr>
        <w:fldChar w:fldCharType="separate"/>
      </w:r>
      <w:bookmarkStart w:id="0" w:name="Tekst16"/>
      <w:r>
        <w:rPr>
          <w:color w:val="000000"/>
          <w:sz w:val="24"/>
          <w:szCs w:val="24"/>
          <w:lang w:val="pl-PL" w:eastAsia="pl-PL"/>
        </w:rPr>
        <w:t>100</w:t>
      </w:r>
      <w:r>
        <w:rPr>
          <w:color w:val="000000"/>
          <w:sz w:val="24"/>
          <w:szCs w:val="24"/>
          <w:lang w:val="pl-PL" w:eastAsia="pl-PL"/>
        </w:rPr>
      </w:r>
      <w:r>
        <w:rPr>
          <w:sz w:val="24"/>
          <w:szCs w:val="24"/>
        </w:rPr>
        <w:fldChar w:fldCharType="end"/>
      </w:r>
      <w:bookmarkEnd w:id="0"/>
      <w:r>
        <w:rPr>
          <w:color w:val="000000"/>
          <w:sz w:val="24"/>
          <w:szCs w:val="24"/>
        </w:rPr>
        <w:t xml:space="preserve"> % nakładów koniecznych na wykonanie tych prac lub robót.</w:t>
      </w:r>
    </w:p>
    <w:p>
      <w:pPr>
        <w:pStyle w:val="Normal"/>
        <w:jc w:val="center"/>
        <w:rPr>
          <w:b/>
          <w:b/>
          <w:color w:val="000000"/>
          <w:sz w:val="24"/>
          <w:szCs w:val="24"/>
        </w:rPr>
      </w:pPr>
      <w:r>
        <w:rPr>
          <w:b/>
          <w:color w:val="000000"/>
          <w:sz w:val="24"/>
          <w:szCs w:val="24"/>
        </w:rPr>
        <w:t>§ 5.</w:t>
      </w:r>
    </w:p>
    <w:p>
      <w:pPr>
        <w:pStyle w:val="Normal"/>
        <w:ind w:firstLine="431"/>
        <w:jc w:val="both"/>
        <w:rPr>
          <w:color w:val="000000"/>
          <w:sz w:val="24"/>
          <w:szCs w:val="24"/>
        </w:rPr>
      </w:pPr>
      <w:r>
        <w:rPr>
          <w:color w:val="000000"/>
          <w:sz w:val="24"/>
          <w:szCs w:val="24"/>
        </w:rPr>
        <w:t>1. We wniosku o przyznanie dotacji ubiegający się o nią powinien wskazać:</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imię, nazwisko, miejsce zamieszkania wnioskodawcy lub nazwę, adres i siedzibę wnioskodawcy będącego jednostką organizacyjną,</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dane obiektu uwidocznione w rejestrze zabytków,</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fotograficzną dokumentację zabytku,</w:t>
      </w:r>
    </w:p>
    <w:p>
      <w:pPr>
        <w:pStyle w:val="Normal"/>
        <w:numPr>
          <w:ilvl w:val="0"/>
          <w:numId w:val="14"/>
        </w:numPr>
        <w:tabs>
          <w:tab w:val="clear" w:pos="708"/>
          <w:tab w:val="left" w:pos="720" w:leader="none"/>
        </w:tabs>
        <w:ind w:left="720" w:hanging="360"/>
        <w:jc w:val="both"/>
        <w:rPr/>
      </w:pPr>
      <w:r>
        <w:rPr>
          <w:color w:val="000000"/>
          <w:sz w:val="24"/>
          <w:szCs w:val="24"/>
        </w:rPr>
        <w:t>dokument potwierdzający tytuł prawny wnioskodawcy do władania zabytkiem lub dowód potwierdzający fakt posiadania zabytku,</w:t>
      </w:r>
    </w:p>
    <w:p>
      <w:pPr>
        <w:pStyle w:val="Normal"/>
        <w:numPr>
          <w:ilvl w:val="0"/>
          <w:numId w:val="14"/>
        </w:numPr>
        <w:tabs>
          <w:tab w:val="clear" w:pos="708"/>
          <w:tab w:val="left" w:pos="720" w:leader="none"/>
        </w:tabs>
        <w:ind w:left="720" w:hanging="360"/>
        <w:jc w:val="both"/>
        <w:rPr/>
      </w:pPr>
      <w:r>
        <w:rPr>
          <w:color w:val="000000"/>
          <w:sz w:val="24"/>
          <w:szCs w:val="24"/>
        </w:rPr>
        <w:t>decyzję właściwego organu ochrony zabytków zezwalającą na przeprowadzenie prac lub robót  budowlanych przy zabytku oraz projekt i pozwolenie na budowę, gdy wniosek dotyczy prac lub robót  budowlanych przy zabytku nieruchomym lub program prac, gdy wniosek dotyczy prac przy zabytku ruchomym,</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wnioskowaną kwotę dotacji i proponowany terminy jej przekazania,</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zakres prac lub robót budowlanych, które mają być objęte dotacją,</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termin zakończenia prac objętych wnioskiem,</w:t>
      </w:r>
    </w:p>
    <w:p>
      <w:pPr>
        <w:pStyle w:val="Normal"/>
        <w:numPr>
          <w:ilvl w:val="0"/>
          <w:numId w:val="14"/>
        </w:numPr>
        <w:tabs>
          <w:tab w:val="clear" w:pos="708"/>
          <w:tab w:val="left" w:pos="720" w:leader="none"/>
        </w:tabs>
        <w:ind w:left="720" w:hanging="360"/>
        <w:jc w:val="both"/>
        <w:rPr/>
      </w:pPr>
      <w:r>
        <w:rPr>
          <w:color w:val="000000"/>
          <w:sz w:val="24"/>
          <w:szCs w:val="24"/>
        </w:rPr>
        <w:t>harmonogram i kosztorys przewidywanych prac lub robót budowlanych ze wskazaniem źródeł ich finansowania.</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informację o środkach publicznych przyznanych z innych źródeł na te same prace lub roboty budowlane przy zabytku oraz informację o wystąpieniu o takie środki złożonym do innych podmiotów,</w:t>
      </w:r>
    </w:p>
    <w:p>
      <w:pPr>
        <w:pStyle w:val="Normal"/>
        <w:numPr>
          <w:ilvl w:val="0"/>
          <w:numId w:val="14"/>
        </w:numPr>
        <w:tabs>
          <w:tab w:val="clear" w:pos="708"/>
          <w:tab w:val="left" w:pos="720" w:leader="none"/>
        </w:tabs>
        <w:ind w:left="720" w:hanging="360"/>
        <w:jc w:val="both"/>
        <w:rPr>
          <w:color w:val="000000"/>
          <w:sz w:val="24"/>
          <w:szCs w:val="24"/>
        </w:rPr>
      </w:pPr>
      <w:r>
        <w:rPr>
          <w:color w:val="000000"/>
          <w:sz w:val="24"/>
          <w:szCs w:val="24"/>
        </w:rPr>
        <w:t>wykaz prac lub robót budowlanych wykonanych przy danym zabytku w okresie 3 lat poprzedzających dzień złożenia wniosku z podaniem łącznej wysokości nakładów, w tym wysokości i źródeł dofinansowania otrzymanego ze środków publicznych.</w:t>
      </w:r>
    </w:p>
    <w:p>
      <w:pPr>
        <w:pStyle w:val="Tretekstu"/>
        <w:ind w:firstLine="360"/>
        <w:rPr/>
      </w:pPr>
      <w:r>
        <w:rPr>
          <w:color w:val="000000"/>
          <w:sz w:val="24"/>
          <w:szCs w:val="24"/>
        </w:rPr>
        <w:t>2. Wzór wniosku, o którym mowa w ust. 1, określa załącznik nr 1 do niniejszej uchwały.</w:t>
      </w:r>
    </w:p>
    <w:p>
      <w:pPr>
        <w:pStyle w:val="Tretekstu"/>
        <w:ind w:firstLine="360"/>
        <w:rPr/>
      </w:pPr>
      <w:r>
        <w:rPr>
          <w:color w:val="000000"/>
          <w:sz w:val="24"/>
          <w:szCs w:val="24"/>
        </w:rPr>
        <w:t xml:space="preserve">3. W przypadku, gdy wnioskodawca jest przedsiębiorcą, do wniosku o udzielenie dotacji winien dołączyć informację o pomocy publicznej otrzymanej przed dniem złożenia wniosku - sporządzoną w zakresie i według zasad określonych w art. 37 ustawy z dnia 30 kwietnia 2004 r. o postępowaniu w sprawach dotyczących pomocy publicznej (tj. Dz. U. 2020.708). </w:t>
      </w:r>
    </w:p>
    <w:p>
      <w:pPr>
        <w:pStyle w:val="Normal"/>
        <w:ind w:firstLine="360"/>
        <w:jc w:val="both"/>
        <w:rPr/>
      </w:pPr>
      <w:r>
        <w:rPr>
          <w:color w:val="000000"/>
          <w:sz w:val="24"/>
          <w:szCs w:val="24"/>
        </w:rPr>
        <w:t>4. Udzielnie dotacji na prace lub roboty budowlane dla podmiotu, o którym mowa w ust. 3, dokonywane jest zgodnie z przepisami niniejszej uchwały wraz z dochowaniem zasad określonych w przepisach prawa regulujących udzielanie pomocy publicznej dla przedsiębiorców.</w:t>
      </w:r>
    </w:p>
    <w:p>
      <w:pPr>
        <w:pStyle w:val="Normal"/>
        <w:jc w:val="center"/>
        <w:rPr>
          <w:b/>
          <w:b/>
          <w:color w:val="000000"/>
          <w:sz w:val="24"/>
          <w:szCs w:val="24"/>
        </w:rPr>
      </w:pPr>
      <w:r>
        <w:rPr>
          <w:b/>
          <w:color w:val="000000"/>
          <w:sz w:val="24"/>
          <w:szCs w:val="24"/>
        </w:rPr>
      </w:r>
    </w:p>
    <w:p>
      <w:pPr>
        <w:pStyle w:val="Normal"/>
        <w:jc w:val="center"/>
        <w:rPr>
          <w:b/>
          <w:b/>
          <w:color w:val="000000"/>
          <w:sz w:val="24"/>
          <w:szCs w:val="24"/>
        </w:rPr>
      </w:pPr>
      <w:r>
        <w:rPr>
          <w:b/>
          <w:color w:val="000000"/>
          <w:sz w:val="24"/>
          <w:szCs w:val="24"/>
        </w:rPr>
        <w:t>§ 6.</w:t>
      </w:r>
    </w:p>
    <w:p>
      <w:pPr>
        <w:pStyle w:val="Normal"/>
        <w:ind w:firstLine="431"/>
        <w:jc w:val="both"/>
        <w:rPr/>
      </w:pPr>
      <w:r>
        <w:rPr>
          <w:color w:val="000000"/>
          <w:sz w:val="24"/>
          <w:szCs w:val="24"/>
        </w:rPr>
        <w:t>1. Wnioski o dotację kierowane są do Wójta Gminy Kamieniec Ząbkowicki.</w:t>
      </w:r>
    </w:p>
    <w:p>
      <w:pPr>
        <w:pStyle w:val="Normal"/>
        <w:ind w:firstLine="431"/>
        <w:jc w:val="both"/>
        <w:rPr/>
      </w:pPr>
      <w:r>
        <w:rPr>
          <w:color w:val="000000"/>
          <w:sz w:val="24"/>
          <w:szCs w:val="24"/>
        </w:rPr>
        <w:t xml:space="preserve">2. Z zastrzeżeniem ust. 3, wnioski o dotację należy składać do dnia </w:t>
      </w:r>
      <w:r>
        <w:fldChar w:fldCharType="begin">
          <w:ffData>
            <w:name w:val="Tekst19"/>
            <w:enabled/>
            <w:calcOnExit w:val="0"/>
            <w:textInput/>
          </w:ffData>
        </w:fldChar>
      </w:r>
      <w:r>
        <w:rPr>
          <w:sz w:val="24"/>
          <w:szCs w:val="24"/>
        </w:rPr>
        <w:instrText> FORMTEXT </w:instrText>
      </w:r>
      <w:r>
        <w:rPr>
          <w:sz w:val="24"/>
          <w:szCs w:val="24"/>
        </w:rPr>
        <w:fldChar w:fldCharType="separate"/>
      </w:r>
      <w:bookmarkStart w:id="1" w:name="Tekst19"/>
      <w:r>
        <w:rPr>
          <w:color w:val="000000"/>
          <w:sz w:val="24"/>
          <w:szCs w:val="24"/>
          <w:lang w:val="pl-PL" w:eastAsia="pl-PL"/>
        </w:rPr>
        <w:t>31 stycznia</w:t>
      </w:r>
      <w:r>
        <w:rPr>
          <w:color w:val="000000"/>
          <w:sz w:val="24"/>
          <w:szCs w:val="24"/>
          <w:lang w:val="pl-PL" w:eastAsia="pl-PL"/>
        </w:rPr>
      </w:r>
      <w:r>
        <w:rPr>
          <w:sz w:val="24"/>
          <w:szCs w:val="24"/>
        </w:rPr>
        <w:fldChar w:fldCharType="end"/>
      </w:r>
      <w:bookmarkEnd w:id="1"/>
      <w:r>
        <w:rPr>
          <w:color w:val="000000"/>
          <w:sz w:val="24"/>
          <w:szCs w:val="24"/>
        </w:rPr>
        <w:t xml:space="preserve"> roku kalendarzowego, w którym Wnioskodawca ma zamiar zrealizować prace lub roboty przy zabytku. </w:t>
      </w:r>
    </w:p>
    <w:p>
      <w:pPr>
        <w:pStyle w:val="Normal"/>
        <w:ind w:firstLine="431"/>
        <w:jc w:val="both"/>
        <w:rPr>
          <w:color w:val="000000"/>
          <w:sz w:val="24"/>
          <w:szCs w:val="24"/>
        </w:rPr>
      </w:pPr>
      <w:r>
        <w:rPr>
          <w:color w:val="000000"/>
          <w:sz w:val="24"/>
          <w:szCs w:val="24"/>
        </w:rPr>
        <w:t>3. Termin, o którym mowa w ust. 2, nie ma zastosowania w przypadku ubiegania się o dotację na prace interwencyjne wynikające z zagrożenia zabytku.</w:t>
      </w:r>
    </w:p>
    <w:p>
      <w:pPr>
        <w:pStyle w:val="Normal"/>
        <w:ind w:firstLine="431"/>
        <w:jc w:val="both"/>
        <w:rPr/>
      </w:pPr>
      <w:r>
        <w:rPr>
          <w:color w:val="000000"/>
          <w:sz w:val="24"/>
          <w:szCs w:val="24"/>
        </w:rPr>
        <w:t>4. Wnioski o przyznanie dotacji przedstawiane są do zaopiniowania komisji Rady Gminy Kamieniec Ząbkowicki właściwej do spraw budżetu.</w:t>
      </w:r>
    </w:p>
    <w:p>
      <w:pPr>
        <w:pStyle w:val="Normal"/>
        <w:jc w:val="center"/>
        <w:rPr>
          <w:b/>
          <w:b/>
          <w:color w:val="000000"/>
          <w:sz w:val="24"/>
          <w:szCs w:val="24"/>
        </w:rPr>
      </w:pPr>
      <w:r>
        <w:rPr>
          <w:b/>
          <w:color w:val="000000"/>
          <w:sz w:val="24"/>
          <w:szCs w:val="24"/>
        </w:rPr>
        <w:t>§ 7.</w:t>
      </w:r>
    </w:p>
    <w:p>
      <w:pPr>
        <w:pStyle w:val="Normal"/>
        <w:ind w:firstLine="431"/>
        <w:jc w:val="both"/>
        <w:rPr/>
      </w:pPr>
      <w:r>
        <w:rPr>
          <w:color w:val="000000"/>
          <w:sz w:val="24"/>
          <w:szCs w:val="24"/>
        </w:rPr>
        <w:t>1. Dotację przyznaje Rada Gminy Kamieniec Ząbkowicki na podstawie uchwały wydawanej na wniosek Wójta Gminy Kamieniec Ząbkowicki, albo komisji Rady Gminy Kamieniec Ząbkowicki właściwej do spraw budżetu.</w:t>
      </w:r>
    </w:p>
    <w:p>
      <w:pPr>
        <w:pStyle w:val="Normal"/>
        <w:ind w:firstLine="431"/>
        <w:jc w:val="both"/>
        <w:rPr/>
      </w:pPr>
      <w:r>
        <w:rPr>
          <w:color w:val="000000"/>
          <w:sz w:val="24"/>
          <w:szCs w:val="24"/>
        </w:rPr>
        <w:t>2. W uchwale, o której mowa w ust. 1, określa się:</w:t>
      </w:r>
    </w:p>
    <w:p>
      <w:pPr>
        <w:pStyle w:val="Normal"/>
        <w:numPr>
          <w:ilvl w:val="0"/>
          <w:numId w:val="7"/>
        </w:numPr>
        <w:jc w:val="both"/>
        <w:rPr>
          <w:color w:val="000000"/>
          <w:sz w:val="24"/>
          <w:szCs w:val="24"/>
        </w:rPr>
      </w:pPr>
      <w:r>
        <w:rPr>
          <w:color w:val="000000"/>
          <w:sz w:val="24"/>
          <w:szCs w:val="24"/>
        </w:rPr>
        <w:t xml:space="preserve">nazwę podmiotu otrzymującego dotację, </w:t>
      </w:r>
    </w:p>
    <w:p>
      <w:pPr>
        <w:pStyle w:val="Normal"/>
        <w:numPr>
          <w:ilvl w:val="0"/>
          <w:numId w:val="7"/>
        </w:numPr>
        <w:jc w:val="both"/>
        <w:rPr>
          <w:color w:val="000000"/>
          <w:sz w:val="24"/>
          <w:szCs w:val="24"/>
        </w:rPr>
      </w:pPr>
      <w:r>
        <w:rPr>
          <w:color w:val="000000"/>
          <w:sz w:val="24"/>
          <w:szCs w:val="24"/>
        </w:rPr>
        <w:t xml:space="preserve">prace lub roboty budowlane przy obiekcie zabytkowym, na wykonanie których przyznano dotację, </w:t>
      </w:r>
    </w:p>
    <w:p>
      <w:pPr>
        <w:pStyle w:val="Normal"/>
        <w:numPr>
          <w:ilvl w:val="0"/>
          <w:numId w:val="7"/>
        </w:numPr>
        <w:jc w:val="both"/>
        <w:rPr/>
      </w:pPr>
      <w:r>
        <w:rPr>
          <w:color w:val="000000"/>
          <w:sz w:val="24"/>
          <w:szCs w:val="24"/>
        </w:rPr>
        <w:t>kwotę dotacji do przekazania w roku budżetowym, a w przypadku, o którym mowa w § 3 ust. 2 pkt 2, kwotę do przekazania w roku następnym.</w:t>
      </w:r>
    </w:p>
    <w:p>
      <w:pPr>
        <w:pStyle w:val="Normal"/>
        <w:ind w:firstLine="431"/>
        <w:jc w:val="both"/>
        <w:rPr/>
      </w:pPr>
      <w:r>
        <w:rPr>
          <w:color w:val="000000"/>
          <w:sz w:val="24"/>
          <w:szCs w:val="24"/>
        </w:rPr>
        <w:t xml:space="preserve">3. Przy ustalaniu wysokości przyznawanych dotacji Rada Gminy Kamieniec Ząbkowicki uwzględnia kwotę zaplanowaną na ten cel w budżecie Gminy Kamieniec Ząbkowicki. </w:t>
      </w:r>
    </w:p>
    <w:p>
      <w:pPr>
        <w:pStyle w:val="Normal"/>
        <w:jc w:val="center"/>
        <w:rPr>
          <w:b/>
          <w:b/>
          <w:color w:val="000000"/>
          <w:sz w:val="24"/>
          <w:szCs w:val="24"/>
        </w:rPr>
      </w:pPr>
      <w:r>
        <w:rPr>
          <w:b/>
          <w:color w:val="000000"/>
          <w:sz w:val="24"/>
          <w:szCs w:val="24"/>
        </w:rPr>
        <w:t>§ 8.</w:t>
      </w:r>
    </w:p>
    <w:p>
      <w:pPr>
        <w:pStyle w:val="Normal"/>
        <w:ind w:firstLine="431"/>
        <w:jc w:val="both"/>
        <w:rPr/>
      </w:pPr>
      <w:r>
        <w:rPr>
          <w:color w:val="000000"/>
          <w:sz w:val="24"/>
          <w:szCs w:val="24"/>
        </w:rPr>
        <w:t xml:space="preserve">  </w:t>
      </w:r>
      <w:r>
        <w:rPr>
          <w:color w:val="000000"/>
          <w:sz w:val="24"/>
          <w:szCs w:val="24"/>
        </w:rPr>
        <w:t>Uwzględniając uchwałę, o której mowa w § 7 i dane z wniosku o dotację, Wójt Gminy Kamieniec Ząbkowicki z beneficjentem podpisuje umowę określającą w szczególności:</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opis prac lub robót budowlanych przy zabytku i termin ich wykonania,</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kwotę dotacji i terminy jej przekazywania, które w postanowieniach umowy mogą zostać uzależnione od wyniku każdorazowej kontroli postępu prac lub robót budowlanych i rozliczenia tych wydatków,</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zobowiązanie się beneficjenta do przekazywania informacji o wysokości środków publicznych na prace lub roboty przy zabytku otrzymanych z innych źródeł,</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zobowiązanie się beneficjenta do stosowania takich zasad obiegu i opisywania dokumentów finansowych, aby oryginały dokumentów świadczących o dokonaniu wydatków sfinansowanych w całości lub w części z otrzymanej dotacji zaopatrzone były w sposób trwały w klauzulę potwierdzającą ten fakt,</w:t>
      </w:r>
    </w:p>
    <w:p>
      <w:pPr>
        <w:pStyle w:val="Normal"/>
        <w:numPr>
          <w:ilvl w:val="0"/>
          <w:numId w:val="10"/>
        </w:numPr>
        <w:tabs>
          <w:tab w:val="clear" w:pos="708"/>
          <w:tab w:val="left" w:pos="-1701" w:leader="none"/>
          <w:tab w:val="right" w:pos="-1560" w:leader="none"/>
          <w:tab w:val="right" w:pos="720" w:leader="none"/>
        </w:tabs>
        <w:ind w:left="720" w:hanging="360"/>
        <w:jc w:val="both"/>
        <w:rPr/>
      </w:pPr>
      <w:r>
        <w:rPr>
          <w:color w:val="000000"/>
          <w:sz w:val="24"/>
          <w:szCs w:val="24"/>
        </w:rPr>
        <w:t>zobowiązanie się beneficjenta, że do czasu rozliczenia dotacji wyraża zgodę na kontrolę ze strony Gminy Kamieniec Ząbkowicki w zakresie przeznaczenia dotacji i wykonania prac lub robót budowlanych wraz ze zobowiązaniem, że przeciwdziałanie przeprowadzeniu kontroli powodować będzie rozwiązanie umowy w trybie natychmiastowym,</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sposób i termin rozliczania udzielonej dotacji,</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 xml:space="preserve">warunki, sposób i termin zwrotu niewykorzystanej dotacji oraz zwrotu dotacji wykorzystanej niezgodnie z przeznaczeniem, </w:t>
      </w:r>
    </w:p>
    <w:p>
      <w:pPr>
        <w:pStyle w:val="Normal"/>
        <w:numPr>
          <w:ilvl w:val="0"/>
          <w:numId w:val="10"/>
        </w:numPr>
        <w:tabs>
          <w:tab w:val="clear" w:pos="708"/>
          <w:tab w:val="left" w:pos="-1701" w:leader="none"/>
          <w:tab w:val="right" w:pos="-1560" w:leader="none"/>
          <w:tab w:val="right" w:pos="720" w:leader="none"/>
        </w:tabs>
        <w:ind w:left="720" w:hanging="360"/>
        <w:jc w:val="both"/>
        <w:rPr>
          <w:color w:val="000000"/>
          <w:sz w:val="24"/>
          <w:szCs w:val="24"/>
        </w:rPr>
      </w:pPr>
      <w:r>
        <w:rPr>
          <w:color w:val="000000"/>
          <w:sz w:val="24"/>
          <w:szCs w:val="24"/>
        </w:rPr>
        <w:t>pouczenie o zakresie odpowiedzialności beneficjenta za naruszenie dyscypliny finansów publicznych przy wydatkowaniu środków z otrzymanej dotacji,</w:t>
      </w:r>
    </w:p>
    <w:p>
      <w:pPr>
        <w:pStyle w:val="Normal"/>
        <w:numPr>
          <w:ilvl w:val="0"/>
          <w:numId w:val="10"/>
        </w:numPr>
        <w:tabs>
          <w:tab w:val="clear" w:pos="708"/>
          <w:tab w:val="left" w:pos="-1701" w:leader="none"/>
          <w:tab w:val="right" w:pos="-1560" w:leader="none"/>
          <w:tab w:val="right" w:pos="720" w:leader="none"/>
        </w:tabs>
        <w:ind w:left="720" w:hanging="360"/>
        <w:jc w:val="both"/>
        <w:rPr/>
      </w:pPr>
      <w:r>
        <w:rPr>
          <w:color w:val="000000"/>
          <w:sz w:val="24"/>
          <w:szCs w:val="24"/>
        </w:rPr>
        <w:t>pouczenie o tym, że w przypadku wykorzystania dotacji niezgodnie z przeznaczeniem beneficjent traci prawo otrzymania dotacji przez okres określony w odrębnych przepisach;</w:t>
      </w:r>
    </w:p>
    <w:p>
      <w:pPr>
        <w:pStyle w:val="Normal"/>
        <w:numPr>
          <w:ilvl w:val="0"/>
          <w:numId w:val="10"/>
        </w:numPr>
        <w:tabs>
          <w:tab w:val="clear" w:pos="708"/>
          <w:tab w:val="left" w:pos="-1701" w:leader="none"/>
          <w:tab w:val="right" w:pos="-1560" w:leader="none"/>
          <w:tab w:val="right" w:pos="720" w:leader="none"/>
        </w:tabs>
        <w:ind w:left="720" w:hanging="360"/>
        <w:jc w:val="both"/>
        <w:rPr/>
      </w:pPr>
      <w:r>
        <w:rPr>
          <w:color w:val="000000"/>
          <w:sz w:val="24"/>
          <w:szCs w:val="24"/>
        </w:rPr>
        <w:t>zobowiązanie się beneficjenta, że w zakresie prac finansowanych dotacją będzie stosował przepisy ustawy z dnia 29 stycznia 2004 r. – Prawo zamówień publicznych (tj. Dz. U. 2019.1843).</w:t>
      </w:r>
    </w:p>
    <w:p>
      <w:pPr>
        <w:pStyle w:val="Normal"/>
        <w:jc w:val="center"/>
        <w:rPr>
          <w:b/>
          <w:b/>
          <w:color w:val="000000"/>
          <w:sz w:val="24"/>
          <w:szCs w:val="24"/>
        </w:rPr>
      </w:pPr>
      <w:r>
        <w:rPr>
          <w:b/>
          <w:color w:val="000000"/>
          <w:sz w:val="24"/>
          <w:szCs w:val="24"/>
        </w:rPr>
        <w:t>§ 9.</w:t>
      </w:r>
    </w:p>
    <w:p>
      <w:pPr>
        <w:pStyle w:val="Normal"/>
        <w:ind w:firstLine="426"/>
        <w:jc w:val="both"/>
        <w:rPr/>
      </w:pPr>
      <w:r>
        <w:rPr>
          <w:color w:val="000000"/>
          <w:sz w:val="24"/>
          <w:szCs w:val="24"/>
        </w:rPr>
        <w:t>Kontrola, o której mowa w § 8 ust. 1 pkt 2 i 5, przeprowadzana jest przez osoby upoważnione przez Wójta Gminy Kamieniec Ząbkowicki i polega na:</w:t>
      </w:r>
    </w:p>
    <w:p>
      <w:pPr>
        <w:pStyle w:val="Tretekstu"/>
        <w:numPr>
          <w:ilvl w:val="0"/>
          <w:numId w:val="15"/>
        </w:numPr>
        <w:rPr>
          <w:color w:val="000000"/>
          <w:sz w:val="24"/>
          <w:szCs w:val="24"/>
        </w:rPr>
      </w:pPr>
      <w:r>
        <w:rPr>
          <w:color w:val="000000"/>
          <w:sz w:val="24"/>
          <w:szCs w:val="24"/>
        </w:rPr>
        <w:t xml:space="preserve">sprawdzaniu rzeczywistego przebiegu realizacji celów zakładanych w zakresie dotowanego zadania pod kątem zgodności z przepisami prawa i zawartą umową (kontrola formalno-merytoryczna), </w:t>
      </w:r>
    </w:p>
    <w:p>
      <w:pPr>
        <w:pStyle w:val="Tretekstu"/>
        <w:numPr>
          <w:ilvl w:val="0"/>
          <w:numId w:val="15"/>
        </w:numPr>
        <w:rPr/>
      </w:pPr>
      <w:r>
        <w:rPr>
          <w:color w:val="000000"/>
          <w:sz w:val="24"/>
          <w:szCs w:val="24"/>
        </w:rPr>
        <w:t>sprawdzaniu dokumentów związanych z realizacją dotowanego zadania, w szczególności znajdujących się w siedzibie podmiotu  oryginałów dokumentów finansowych, pod kątem ich zgodności z przepisami prawa, umową i zasadami rachunkowości (kontrola formalno-rachunkowa).</w:t>
      </w:r>
    </w:p>
    <w:p>
      <w:pPr>
        <w:pStyle w:val="Normal"/>
        <w:jc w:val="center"/>
        <w:rPr>
          <w:b/>
          <w:b/>
          <w:color w:val="000000"/>
          <w:sz w:val="24"/>
          <w:szCs w:val="24"/>
        </w:rPr>
      </w:pPr>
      <w:r>
        <w:rPr>
          <w:b/>
          <w:color w:val="000000"/>
          <w:sz w:val="24"/>
          <w:szCs w:val="24"/>
        </w:rPr>
        <w:t>§ 10.</w:t>
      </w:r>
    </w:p>
    <w:p>
      <w:pPr>
        <w:pStyle w:val="Normal"/>
        <w:ind w:firstLine="431"/>
        <w:jc w:val="both"/>
        <w:rPr/>
      </w:pPr>
      <w:r>
        <w:rPr>
          <w:color w:val="000000"/>
          <w:sz w:val="24"/>
          <w:szCs w:val="24"/>
        </w:rPr>
        <w:t> </w:t>
      </w:r>
      <w:r>
        <w:rPr>
          <w:color w:val="000000"/>
          <w:sz w:val="24"/>
          <w:szCs w:val="24"/>
        </w:rPr>
        <w:t>1. Przed rozliczeniem całości dotacji lub jej części dokonywany jest komisyjny odbiór wykonanych prac lub robót budowlanych, który dokonają osoby upoważnione przez Wójta Gminy Kamieniec Ząbkowicki.</w:t>
      </w:r>
    </w:p>
    <w:p>
      <w:pPr>
        <w:pStyle w:val="Normal"/>
        <w:ind w:firstLine="431"/>
        <w:jc w:val="both"/>
        <w:rPr/>
      </w:pPr>
      <w:r>
        <w:rPr>
          <w:color w:val="000000"/>
          <w:sz w:val="24"/>
          <w:szCs w:val="24"/>
        </w:rPr>
        <w:t xml:space="preserve">2. W celu rozliczenia dotacji beneficjent w sposób i w terminach określonych w umowie składa sprawozdania z wykonania prac lub robót budowlanych Wójtowi Gminy Kamieniec Ząbkowicki. </w:t>
      </w:r>
    </w:p>
    <w:p>
      <w:pPr>
        <w:pStyle w:val="Normal"/>
        <w:ind w:firstLine="431"/>
        <w:jc w:val="both"/>
        <w:rPr/>
      </w:pPr>
      <w:r>
        <w:rPr>
          <w:color w:val="000000"/>
          <w:sz w:val="24"/>
          <w:szCs w:val="24"/>
        </w:rPr>
        <w:t>3. Sprawozdanie, o którym mowa w ust. 2, określa:</w:t>
      </w:r>
    </w:p>
    <w:p>
      <w:pPr>
        <w:pStyle w:val="Normal"/>
        <w:numPr>
          <w:ilvl w:val="0"/>
          <w:numId w:val="21"/>
        </w:numPr>
        <w:jc w:val="both"/>
        <w:rPr>
          <w:color w:val="000000"/>
          <w:sz w:val="24"/>
          <w:szCs w:val="24"/>
        </w:rPr>
      </w:pPr>
      <w:r>
        <w:rPr>
          <w:color w:val="000000"/>
          <w:sz w:val="24"/>
          <w:szCs w:val="24"/>
        </w:rPr>
        <w:t>całkowity koszt zadania w okresie sprawozdawczym, w tym nakłady pokryte z innych środków publicznych,</w:t>
      </w:r>
    </w:p>
    <w:p>
      <w:pPr>
        <w:pStyle w:val="Normal"/>
        <w:numPr>
          <w:ilvl w:val="0"/>
          <w:numId w:val="21"/>
        </w:numPr>
        <w:jc w:val="both"/>
        <w:rPr>
          <w:color w:val="000000"/>
          <w:sz w:val="24"/>
          <w:szCs w:val="24"/>
        </w:rPr>
      </w:pPr>
      <w:r>
        <w:rPr>
          <w:color w:val="000000"/>
          <w:sz w:val="24"/>
          <w:szCs w:val="24"/>
        </w:rPr>
        <w:t>zestawienie rachunków dołączanych do sprawozdania w celu rozliczenia dotacji - ze wskazaniem numeru księgowego, numeru pozycji kosztorysu, daty wystawienia rachunku, nazwy wydatku oraz jego kwoty wraz z określeniem wysokości środków z dotacji finansujących dany rachunek,</w:t>
      </w:r>
    </w:p>
    <w:p>
      <w:pPr>
        <w:pStyle w:val="Tekstpodstawowywcity3"/>
        <w:rPr>
          <w:color w:val="000000"/>
          <w:sz w:val="24"/>
          <w:szCs w:val="24"/>
        </w:rPr>
      </w:pPr>
      <w:r>
        <w:rPr>
          <w:color w:val="000000"/>
          <w:sz w:val="24"/>
          <w:szCs w:val="24"/>
        </w:rPr>
        <w:t>4. Wzór sprawozdania określa załącznik nr 2 do niniejszej uchwały.</w:t>
      </w:r>
    </w:p>
    <w:p>
      <w:pPr>
        <w:pStyle w:val="Tekstpodstawowywcity3"/>
        <w:rPr>
          <w:color w:val="000000"/>
          <w:sz w:val="24"/>
          <w:szCs w:val="24"/>
        </w:rPr>
      </w:pPr>
      <w:r>
        <w:rPr>
          <w:color w:val="000000"/>
          <w:sz w:val="24"/>
          <w:szCs w:val="24"/>
        </w:rPr>
        <w:t>5. Do sprawozdania dołącza się oświadczenie o zgodności dołączonych danych ze stanem faktycznym wraz z pouczeniem o odpowiedzialności z art. 233 Kodeksu karnego.</w:t>
      </w:r>
    </w:p>
    <w:p>
      <w:pPr>
        <w:pStyle w:val="Tekstpodstawowywcity3"/>
        <w:rPr/>
      </w:pPr>
      <w:r>
        <w:rPr>
          <w:color w:val="000000"/>
          <w:sz w:val="24"/>
          <w:szCs w:val="24"/>
        </w:rPr>
        <w:t>6. Beneficjent rozliczając dotację winien na wezwanie Wójta Gminy Kamieniec Ząbkowicki uzupełnić brakujące dokumenty i udzielić wyczerpujących informacji.</w:t>
      </w:r>
    </w:p>
    <w:p>
      <w:pPr>
        <w:pStyle w:val="Tekstpodstawowywcity3"/>
        <w:rPr/>
      </w:pPr>
      <w:r>
        <w:rPr>
          <w:color w:val="000000"/>
          <w:sz w:val="24"/>
          <w:szCs w:val="24"/>
        </w:rPr>
        <w:t>7. Akceptacja sprawozdania przez Wójta Gminy Kamieniec Ząbkowicki, albo osoby przez niego upoważnionej, jest równoznaczna z rozliczeniem udzielonej dotacji.</w:t>
      </w:r>
    </w:p>
    <w:p>
      <w:pPr>
        <w:pStyle w:val="Normal"/>
        <w:jc w:val="center"/>
        <w:rPr>
          <w:b/>
          <w:b/>
          <w:color w:val="000000"/>
          <w:sz w:val="24"/>
          <w:szCs w:val="24"/>
        </w:rPr>
      </w:pPr>
      <w:r>
        <w:rPr>
          <w:b/>
          <w:color w:val="000000"/>
          <w:sz w:val="24"/>
          <w:szCs w:val="24"/>
        </w:rPr>
        <w:t>§ 11.</w:t>
      </w:r>
    </w:p>
    <w:p>
      <w:pPr>
        <w:pStyle w:val="Normal"/>
        <w:ind w:firstLine="431"/>
        <w:jc w:val="both"/>
        <w:rPr/>
      </w:pPr>
      <w:r>
        <w:rPr>
          <w:color w:val="000000"/>
          <w:sz w:val="24"/>
          <w:szCs w:val="24"/>
        </w:rPr>
        <w:t>1. W przypadku częściowego lub całkowitego niewykonania dotowanego zadania z przyczyn leżących po stronie beneficjenta, niewykorzystana część przekazanych środków dotacji podlega zwrotowi na zasadach określonych w umowie.</w:t>
      </w:r>
      <w:r>
        <w:rPr>
          <w:dstrike/>
          <w:color w:val="000000"/>
          <w:sz w:val="24"/>
          <w:szCs w:val="24"/>
        </w:rPr>
        <w:t xml:space="preserve"> </w:t>
      </w:r>
    </w:p>
    <w:p>
      <w:pPr>
        <w:pStyle w:val="Normal"/>
        <w:ind w:firstLine="431"/>
        <w:jc w:val="both"/>
        <w:rPr/>
      </w:pPr>
      <w:r>
        <w:rPr>
          <w:color w:val="000000"/>
          <w:sz w:val="24"/>
          <w:szCs w:val="24"/>
        </w:rPr>
        <w:t xml:space="preserve">2. W przypadku wydatkowania przez beneficjenta środków z dotacji w sposób niezgodny z przeznaczeniem określonym w umowie, Gminie Kamieniec Ząbkowicki przysługuje zwrot środków wraz z odsetkami w wysokości określonej jak od zaległości podatkowych  liczonymi od daty przekazania środków. </w:t>
      </w:r>
    </w:p>
    <w:p>
      <w:pPr>
        <w:pStyle w:val="Normal"/>
        <w:jc w:val="center"/>
        <w:rPr>
          <w:b/>
          <w:b/>
          <w:color w:val="000000"/>
          <w:sz w:val="24"/>
          <w:szCs w:val="24"/>
        </w:rPr>
      </w:pPr>
      <w:r>
        <w:rPr>
          <w:b/>
          <w:color w:val="000000"/>
          <w:sz w:val="24"/>
          <w:szCs w:val="24"/>
        </w:rPr>
        <w:t>§ 12.</w:t>
      </w:r>
    </w:p>
    <w:p>
      <w:pPr>
        <w:pStyle w:val="Normal"/>
        <w:ind w:firstLine="431"/>
        <w:jc w:val="both"/>
        <w:rPr/>
      </w:pPr>
      <w:r>
        <w:rPr>
          <w:color w:val="000000"/>
          <w:sz w:val="24"/>
          <w:szCs w:val="24"/>
        </w:rPr>
        <w:t>1. Wójt Gminy Kamieniec Ząbkowicki prowadzi zestawienie danych o udzielonych dotacjach oraz informuje inne organy uprawnione do udzielania dotacji na prace lub roboty budowlane przy zabytkach o dotacjach przyznanych przez Radę Gminy Kamieniec Ząbkowicki.</w:t>
      </w:r>
    </w:p>
    <w:p>
      <w:pPr>
        <w:pStyle w:val="Normal"/>
        <w:ind w:firstLine="431"/>
        <w:jc w:val="both"/>
        <w:rPr/>
      </w:pPr>
      <w:r>
        <w:rPr>
          <w:color w:val="000000"/>
          <w:sz w:val="24"/>
          <w:szCs w:val="24"/>
        </w:rPr>
        <w:t xml:space="preserve">2. Zestawienie danych, o których mowa w ust. 1, dla każdej udzielonej dotacji winno zawierać: </w:t>
      </w:r>
    </w:p>
    <w:p>
      <w:pPr>
        <w:pStyle w:val="Normal"/>
        <w:numPr>
          <w:ilvl w:val="0"/>
          <w:numId w:val="16"/>
        </w:numPr>
        <w:tabs>
          <w:tab w:val="clear" w:pos="708"/>
          <w:tab w:val="left" w:pos="720" w:leader="none"/>
        </w:tabs>
        <w:ind w:left="720" w:hanging="360"/>
        <w:jc w:val="both"/>
        <w:rPr>
          <w:color w:val="000000"/>
          <w:sz w:val="24"/>
          <w:szCs w:val="24"/>
        </w:rPr>
      </w:pPr>
      <w:r>
        <w:rPr>
          <w:color w:val="000000"/>
          <w:sz w:val="24"/>
          <w:szCs w:val="24"/>
        </w:rPr>
        <w:t>wskazanie zabytku, z uwzględnieniem miejsca jego położenia lub przechowywania,</w:t>
      </w:r>
    </w:p>
    <w:p>
      <w:pPr>
        <w:pStyle w:val="Normal"/>
        <w:numPr>
          <w:ilvl w:val="0"/>
          <w:numId w:val="16"/>
        </w:numPr>
        <w:tabs>
          <w:tab w:val="clear" w:pos="708"/>
          <w:tab w:val="left" w:pos="720" w:leader="none"/>
        </w:tabs>
        <w:ind w:left="720" w:hanging="360"/>
        <w:jc w:val="both"/>
        <w:rPr>
          <w:color w:val="000000"/>
          <w:sz w:val="24"/>
          <w:szCs w:val="24"/>
        </w:rPr>
      </w:pPr>
      <w:r>
        <w:rPr>
          <w:color w:val="000000"/>
          <w:sz w:val="24"/>
          <w:szCs w:val="24"/>
        </w:rPr>
        <w:t>imię, nazwisko miejsce zamieszkania i adres osoby albo nazwę, siedzibę i adres jednostki organizacyjnej, której przyznano dotację;</w:t>
      </w:r>
    </w:p>
    <w:p>
      <w:pPr>
        <w:pStyle w:val="Normal"/>
        <w:numPr>
          <w:ilvl w:val="0"/>
          <w:numId w:val="16"/>
        </w:numPr>
        <w:tabs>
          <w:tab w:val="clear" w:pos="708"/>
          <w:tab w:val="left" w:pos="720" w:leader="none"/>
        </w:tabs>
        <w:ind w:left="720" w:hanging="360"/>
        <w:jc w:val="both"/>
        <w:rPr/>
      </w:pPr>
      <w:r>
        <w:rPr>
          <w:color w:val="000000"/>
          <w:sz w:val="24"/>
          <w:szCs w:val="24"/>
        </w:rPr>
        <w:t>kserokopię uchwały o przyznaniu dotacji, o której mowa w § 7</w:t>
      </w:r>
    </w:p>
    <w:p>
      <w:pPr>
        <w:pStyle w:val="Normal"/>
        <w:numPr>
          <w:ilvl w:val="0"/>
          <w:numId w:val="16"/>
        </w:numPr>
        <w:tabs>
          <w:tab w:val="clear" w:pos="708"/>
          <w:tab w:val="left" w:pos="720" w:leader="none"/>
        </w:tabs>
        <w:ind w:left="720" w:hanging="360"/>
        <w:jc w:val="both"/>
        <w:rPr>
          <w:color w:val="000000"/>
          <w:sz w:val="24"/>
          <w:szCs w:val="24"/>
        </w:rPr>
      </w:pPr>
      <w:r>
        <w:rPr>
          <w:color w:val="000000"/>
          <w:sz w:val="24"/>
          <w:szCs w:val="24"/>
        </w:rPr>
        <w:t>kserokopię umowy o dotację;</w:t>
      </w:r>
    </w:p>
    <w:p>
      <w:pPr>
        <w:pStyle w:val="Normal"/>
        <w:numPr>
          <w:ilvl w:val="0"/>
          <w:numId w:val="16"/>
        </w:numPr>
        <w:tabs>
          <w:tab w:val="clear" w:pos="708"/>
          <w:tab w:val="left" w:pos="720" w:leader="none"/>
        </w:tabs>
        <w:ind w:left="720" w:hanging="360"/>
        <w:jc w:val="both"/>
        <w:rPr>
          <w:color w:val="000000"/>
          <w:sz w:val="24"/>
          <w:szCs w:val="24"/>
        </w:rPr>
      </w:pPr>
      <w:r>
        <w:rPr>
          <w:color w:val="000000"/>
          <w:sz w:val="24"/>
          <w:szCs w:val="24"/>
        </w:rPr>
        <w:t>informacje o wysokości środków przekazanych beneficjentowi z dotacji oraz o rozliczeniu kwoty wypłaconej dotacji,</w:t>
      </w:r>
    </w:p>
    <w:p>
      <w:pPr>
        <w:pStyle w:val="Normal"/>
        <w:numPr>
          <w:ilvl w:val="0"/>
          <w:numId w:val="16"/>
        </w:numPr>
        <w:tabs>
          <w:tab w:val="clear" w:pos="708"/>
          <w:tab w:val="left" w:pos="720" w:leader="none"/>
        </w:tabs>
        <w:ind w:left="720" w:hanging="360"/>
        <w:jc w:val="both"/>
        <w:rPr/>
      </w:pPr>
      <w:r>
        <w:rPr>
          <w:color w:val="000000"/>
          <w:sz w:val="24"/>
          <w:szCs w:val="24"/>
        </w:rPr>
        <w:t>informacje przekazane Gminie Kamieniec Ząbkowicki przez inne organy zobowiązane do udzielania informacji o dotacjach na prace lub roboty budowlane przy danym zabytku,</w:t>
      </w:r>
    </w:p>
    <w:p>
      <w:pPr>
        <w:pStyle w:val="Normal"/>
        <w:numPr>
          <w:ilvl w:val="0"/>
          <w:numId w:val="16"/>
        </w:numPr>
        <w:tabs>
          <w:tab w:val="clear" w:pos="708"/>
          <w:tab w:val="left" w:pos="720" w:leader="none"/>
        </w:tabs>
        <w:ind w:left="720" w:hanging="360"/>
        <w:jc w:val="both"/>
        <w:rPr/>
      </w:pPr>
      <w:r>
        <w:rPr>
          <w:color w:val="000000"/>
          <w:sz w:val="24"/>
          <w:szCs w:val="24"/>
        </w:rPr>
        <w:t>adnotacje o podaniu informacji, o której mowa w ust. 3, do publicznej wiadomości oraz o okresie wywieszenia takiej informacji na tablicy ogłoszeń.</w:t>
      </w:r>
    </w:p>
    <w:p>
      <w:pPr>
        <w:pStyle w:val="Normal"/>
        <w:jc w:val="center"/>
        <w:rPr>
          <w:b/>
          <w:b/>
          <w:color w:val="000000"/>
          <w:sz w:val="24"/>
          <w:szCs w:val="24"/>
        </w:rPr>
      </w:pPr>
      <w:r>
        <w:rPr>
          <w:b/>
          <w:color w:val="000000"/>
          <w:sz w:val="24"/>
          <w:szCs w:val="24"/>
        </w:rPr>
        <w:t>13.</w:t>
      </w:r>
    </w:p>
    <w:p>
      <w:pPr>
        <w:pStyle w:val="Normal"/>
        <w:ind w:firstLine="431"/>
        <w:jc w:val="both"/>
        <w:rPr/>
      </w:pPr>
      <w:r>
        <w:rPr>
          <w:color w:val="000000"/>
          <w:sz w:val="24"/>
          <w:szCs w:val="24"/>
        </w:rPr>
        <w:t>1. Wójt niezwłocznie ogłasza na tablicach ogłoszeń Urzędu Gminy Kamieniec Ząbkowicki:</w:t>
      </w:r>
    </w:p>
    <w:p>
      <w:pPr>
        <w:pStyle w:val="Normal"/>
        <w:numPr>
          <w:ilvl w:val="0"/>
          <w:numId w:val="17"/>
        </w:numPr>
        <w:jc w:val="both"/>
        <w:rPr/>
      </w:pPr>
      <w:r>
        <w:rPr>
          <w:color w:val="000000"/>
          <w:sz w:val="24"/>
          <w:szCs w:val="24"/>
        </w:rPr>
        <w:t>uchwałę o przyznaniu dotacji, o której mowa w § 7,</w:t>
      </w:r>
    </w:p>
    <w:p>
      <w:pPr>
        <w:pStyle w:val="Normal"/>
        <w:numPr>
          <w:ilvl w:val="0"/>
          <w:numId w:val="17"/>
        </w:numPr>
        <w:jc w:val="both"/>
        <w:rPr/>
      </w:pPr>
      <w:r>
        <w:rPr>
          <w:color w:val="000000"/>
          <w:sz w:val="24"/>
          <w:szCs w:val="24"/>
        </w:rPr>
        <w:t>informację o rozliczeniu lub odmowie rozliczenia dotacji udzielonej poszczególnym beneficjentom z budżetu Gminy Kamieniec Ząbkowicki,</w:t>
      </w:r>
    </w:p>
    <w:p>
      <w:pPr>
        <w:pStyle w:val="Normal"/>
        <w:numPr>
          <w:ilvl w:val="0"/>
          <w:numId w:val="17"/>
        </w:numPr>
        <w:jc w:val="both"/>
        <w:rPr/>
      </w:pPr>
      <w:r>
        <w:rPr>
          <w:color w:val="000000"/>
          <w:sz w:val="24"/>
          <w:szCs w:val="24"/>
        </w:rPr>
        <w:t xml:space="preserve">informację o utracie prawa do dotacji przez beneficjenta, który wykorzystał dotację niezgodnie z przeznaczeniem, o której mowa w § 8 ust. 1 pkt 9. </w:t>
      </w:r>
    </w:p>
    <w:p>
      <w:pPr>
        <w:pStyle w:val="Normal"/>
        <w:ind w:left="431" w:hanging="0"/>
        <w:jc w:val="both"/>
        <w:rPr/>
      </w:pPr>
      <w:r>
        <w:rPr>
          <w:color w:val="000000"/>
          <w:sz w:val="24"/>
          <w:szCs w:val="24"/>
        </w:rPr>
        <w:t>2. Uchwały i informacje, o których mowa w ust. 3, wywiesza się na okres 1 miesiąca.</w:t>
      </w:r>
    </w:p>
    <w:p>
      <w:pPr>
        <w:pStyle w:val="Normal"/>
        <w:ind w:left="431" w:hanging="0"/>
        <w:jc w:val="both"/>
        <w:rPr/>
      </w:pPr>
      <w:r>
        <w:rPr>
          <w:color w:val="000000"/>
          <w:sz w:val="24"/>
          <w:szCs w:val="24"/>
        </w:rPr>
        <w:t>3. Każdemu służy prawo wglądu do zestawienia danych, o których mowa w ust. 1, na zasadach określonych w przepisach dotyczących dostępu do informacji publicznej.</w:t>
      </w:r>
    </w:p>
    <w:p>
      <w:pPr>
        <w:pStyle w:val="Normal"/>
        <w:jc w:val="center"/>
        <w:rPr>
          <w:b/>
          <w:b/>
          <w:color w:val="000000"/>
          <w:sz w:val="24"/>
          <w:szCs w:val="24"/>
        </w:rPr>
      </w:pPr>
      <w:r>
        <w:rPr>
          <w:b/>
          <w:color w:val="000000"/>
          <w:sz w:val="24"/>
          <w:szCs w:val="24"/>
        </w:rPr>
        <w:t>§ 14.</w:t>
      </w:r>
    </w:p>
    <w:p>
      <w:pPr>
        <w:pStyle w:val="Normal"/>
        <w:numPr>
          <w:ilvl w:val="3"/>
          <w:numId w:val="15"/>
        </w:numPr>
        <w:tabs>
          <w:tab w:val="clear" w:pos="708"/>
          <w:tab w:val="left" w:pos="0" w:leader="none"/>
        </w:tabs>
        <w:ind w:left="0" w:firstLine="360"/>
        <w:jc w:val="both"/>
        <w:rPr/>
      </w:pPr>
      <w:r>
        <w:rPr>
          <w:color w:val="000000"/>
          <w:sz w:val="24"/>
          <w:szCs w:val="24"/>
        </w:rPr>
        <w:t>Beneficjent zobowiązuje się do umieszczenia niezwłocznie po wykonaniu zadania w miejscu ogólnodostępnym i dobrze widocznym, przy lub na obiekcie budowlanym będącym przedmiotem zadania, przynajmniej jednej tablicy informacyjnej wskazującej w sposób jednoznaczny i niebudzący wątpliwości, że zadanie zostało dofinansowane/sfinansowane ze środków budżetu Gminy Kamieniec Ząbkowicki.</w:t>
      </w:r>
    </w:p>
    <w:p>
      <w:pPr>
        <w:pStyle w:val="Normal"/>
        <w:numPr>
          <w:ilvl w:val="3"/>
          <w:numId w:val="15"/>
        </w:numPr>
        <w:tabs>
          <w:tab w:val="clear" w:pos="708"/>
          <w:tab w:val="left" w:pos="360" w:leader="none"/>
        </w:tabs>
        <w:ind w:left="360" w:hanging="0"/>
        <w:rPr>
          <w:color w:val="000000"/>
          <w:sz w:val="24"/>
          <w:szCs w:val="24"/>
        </w:rPr>
      </w:pPr>
      <w:r>
        <w:rPr>
          <w:color w:val="000000"/>
          <w:sz w:val="24"/>
          <w:szCs w:val="24"/>
        </w:rPr>
        <w:t>Koszt wykonania tablicy informacyjnej nie zalicza się do całkowitych kosztów zadania.</w:t>
      </w:r>
    </w:p>
    <w:p>
      <w:pPr>
        <w:pStyle w:val="Normal"/>
        <w:jc w:val="center"/>
        <w:rPr/>
      </w:pPr>
      <w:r>
        <w:rPr>
          <w:b/>
          <w:color w:val="000000"/>
          <w:sz w:val="24"/>
          <w:szCs w:val="24"/>
        </w:rPr>
        <w:t>§ 15.</w:t>
      </w:r>
    </w:p>
    <w:p>
      <w:pPr>
        <w:pStyle w:val="Normal"/>
        <w:jc w:val="both"/>
        <w:rPr/>
      </w:pPr>
      <w:r>
        <w:rPr>
          <w:color w:val="000000"/>
          <w:sz w:val="24"/>
          <w:szCs w:val="24"/>
        </w:rPr>
        <w:t>Uchyla się uchwałę nr XL/195/10 Rady Gminy Kamieniec Ząbkowicki z dnia 26 lutego 2010r. w sprawie określenia zasad udzielania dotacji na prace konserwatorskie, restauratorskie lub roboty budowlane przy zabytku wpisanym do rejestru zabytków</w:t>
      </w:r>
      <w:r>
        <w:rPr>
          <w:b/>
          <w:color w:val="000000"/>
          <w:sz w:val="24"/>
          <w:szCs w:val="24"/>
        </w:rPr>
        <w:t>.</w:t>
      </w:r>
    </w:p>
    <w:p>
      <w:pPr>
        <w:pStyle w:val="Normal"/>
        <w:jc w:val="center"/>
        <w:rPr/>
      </w:pPr>
      <w:r>
        <w:rPr>
          <w:b/>
          <w:color w:val="000000"/>
          <w:sz w:val="24"/>
          <w:szCs w:val="24"/>
        </w:rPr>
        <w:t>§ 16.</w:t>
      </w:r>
    </w:p>
    <w:p>
      <w:pPr>
        <w:pStyle w:val="Normal"/>
        <w:jc w:val="both"/>
        <w:rPr/>
      </w:pPr>
      <w:r>
        <w:rPr>
          <w:color w:val="000000"/>
          <w:sz w:val="24"/>
          <w:szCs w:val="24"/>
        </w:rPr>
        <w:t xml:space="preserve">Wykonanie uchwały powierza się Wójtowi Gminy Kamieniec Ząbkowicki. </w:t>
      </w:r>
    </w:p>
    <w:p>
      <w:pPr>
        <w:pStyle w:val="Normal"/>
        <w:jc w:val="center"/>
        <w:rPr/>
      </w:pPr>
      <w:r>
        <w:rPr>
          <w:b/>
          <w:color w:val="000000"/>
          <w:sz w:val="24"/>
          <w:szCs w:val="24"/>
        </w:rPr>
        <w:t>§ 17.</w:t>
      </w:r>
    </w:p>
    <w:p>
      <w:pPr>
        <w:pStyle w:val="Normal"/>
        <w:ind w:firstLine="431"/>
        <w:jc w:val="both"/>
        <w:rPr/>
      </w:pPr>
      <w:r>
        <w:rPr>
          <w:color w:val="000000"/>
          <w:sz w:val="24"/>
          <w:szCs w:val="24"/>
        </w:rPr>
        <w:t>Uchwała wchodzi w życie po upływie 14 dni od dnia jej ogłoszenia w Dzienniku Urzędowym Województwa Dolnośląskiego.</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r>
    </w:p>
    <w:p>
      <w:pPr>
        <w:pStyle w:val="Normal"/>
        <w:rPr>
          <w:i/>
          <w:i/>
          <w:color w:val="000000"/>
          <w:sz w:val="24"/>
          <w:szCs w:val="24"/>
        </w:rPr>
      </w:pPr>
      <w:r>
        <w:rPr>
          <w:i/>
          <w:color w:val="000000"/>
          <w:sz w:val="24"/>
          <w:szCs w:val="24"/>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jc w:val="center"/>
        <w:rPr/>
      </w:pPr>
      <w:r>
        <w:rPr>
          <w:i/>
          <w:color w:val="000000"/>
        </w:rPr>
        <w:t xml:space="preserve">                                                                                       </w:t>
      </w:r>
      <w:r>
        <w:rPr>
          <w:i/>
          <w:color w:val="000000"/>
        </w:rPr>
        <w:t>Załącznik Nr 1 do Uchwały</w:t>
      </w:r>
    </w:p>
    <w:p>
      <w:pPr>
        <w:pStyle w:val="Normal"/>
        <w:rPr/>
      </w:pPr>
      <w:r>
        <w:rPr>
          <w:i/>
          <w:color w:val="000000"/>
        </w:rPr>
        <w:t xml:space="preserve">                                                                                            </w:t>
      </w:r>
      <w:r>
        <w:rPr>
          <w:i/>
          <w:color w:val="000000"/>
        </w:rPr>
        <w:t xml:space="preserve">Rady Gminy Kamieniec Ząbkowicki </w:t>
      </w:r>
    </w:p>
    <w:p>
      <w:pPr>
        <w:pStyle w:val="Normal"/>
        <w:rPr/>
      </w:pPr>
      <w:r>
        <w:rPr>
          <w:i/>
          <w:color w:val="000000"/>
        </w:rPr>
        <w:t xml:space="preserve">                                                                                                     </w:t>
      </w:r>
      <w:r>
        <w:rPr>
          <w:i/>
          <w:color w:val="000000"/>
        </w:rPr>
        <w:t xml:space="preserve">nr ………...  z dnia…………. </w:t>
      </w:r>
    </w:p>
    <w:p>
      <w:pPr>
        <w:pStyle w:val="Normal"/>
        <w:jc w:val="right"/>
        <w:rPr>
          <w:b/>
          <w:b/>
          <w:i/>
          <w:i/>
          <w:color w:val="000000"/>
          <w:sz w:val="28"/>
        </w:rPr>
      </w:pPr>
      <w:r>
        <w:rPr>
          <w:b/>
          <w:i/>
          <w:color w:val="000000"/>
          <w:sz w:val="28"/>
        </w:rPr>
      </w:r>
    </w:p>
    <w:p>
      <w:pPr>
        <w:pStyle w:val="Paragraf"/>
        <w:spacing w:before="0" w:after="0"/>
        <w:rPr>
          <w:b/>
          <w:b/>
          <w:smallCaps/>
        </w:rPr>
      </w:pPr>
      <w:r>
        <w:rPr>
          <w:b/>
          <w:smallCaps/>
        </w:rPr>
        <w:t>Wniosek</w:t>
      </w:r>
    </w:p>
    <w:p>
      <w:pPr>
        <w:pStyle w:val="Normal"/>
        <w:jc w:val="center"/>
        <w:rPr>
          <w:sz w:val="24"/>
          <w:szCs w:val="24"/>
        </w:rPr>
      </w:pPr>
      <w:r>
        <w:rPr>
          <w:b/>
          <w:smallCaps/>
          <w:sz w:val="24"/>
          <w:szCs w:val="24"/>
        </w:rPr>
        <w:t xml:space="preserve">o udzielenie ze środków  gminy  </w:t>
      </w:r>
      <w:r>
        <w:rPr>
          <w:rFonts w:ascii="Times New Roman" w:hAnsi="Times New Roman"/>
          <w:b/>
          <w:smallCaps/>
          <w:sz w:val="24"/>
          <w:szCs w:val="24"/>
        </w:rPr>
        <w:t>KAMIENIEC ZĄBKOWICKI</w:t>
      </w:r>
      <w:r>
        <w:rPr>
          <w:b/>
          <w:smallCaps/>
          <w:sz w:val="24"/>
          <w:szCs w:val="24"/>
        </w:rPr>
        <w:t xml:space="preserve">  dotacji na prace konserwatorskie restauratorsie lub roboty budowlane przy zabytku wpisanym do rejestru zabytków LUB ZNAJDUJĄCYM SIĘ W GMINNEJ EWIDENCJI ZABYTKÓW </w:t>
      </w:r>
    </w:p>
    <w:p>
      <w:pPr>
        <w:pStyle w:val="Normal"/>
        <w:jc w:val="center"/>
        <w:rPr/>
      </w:pPr>
      <w:r>
        <w:rPr/>
      </w:r>
    </w:p>
    <w:p>
      <w:pPr>
        <w:pStyle w:val="Normal"/>
        <w:rPr>
          <w:b/>
          <w:b/>
        </w:rPr>
      </w:pPr>
      <w:r>
        <w:rPr>
          <w:b/>
        </w:rPr>
        <w:t>I.  Dane podmiotu ubiegającego się o dotację</w:t>
      </w:r>
    </w:p>
    <w:p>
      <w:pPr>
        <w:pStyle w:val="Normal"/>
        <w:rPr/>
      </w:pPr>
      <w:r>
        <w:rPr/>
        <w:t xml:space="preserve">     </w:t>
      </w:r>
      <w:r>
        <w:rPr/>
        <w:t xml:space="preserve">1)   pełna nazwa podmiotu : </w:t>
      </w:r>
      <w:r>
        <w:fldChar w:fldCharType="begin">
          <w:ffData>
            <w:name w:val="Tekst50"/>
            <w:enabled/>
            <w:calcOnExit w:val="0"/>
            <w:textInput/>
          </w:ffData>
        </w:fldChar>
      </w:r>
      <w:r>
        <w:rPr/>
        <w:instrText> FORMTEXT </w:instrText>
      </w:r>
      <w:r>
        <w:rPr/>
        <w:fldChar w:fldCharType="separate"/>
      </w:r>
      <w:bookmarkStart w:id="2" w:name="Tekst50"/>
      <w:r>
        <w:rPr>
          <w:lang w:val="pl-PL" w:eastAsia="pl-PL"/>
        </w:rPr>
        <w:t>     </w:t>
      </w:r>
      <w:r>
        <w:rPr>
          <w:lang w:val="pl-PL" w:eastAsia="pl-PL"/>
        </w:rPr>
      </w:r>
      <w:r>
        <w:rPr/>
        <w:fldChar w:fldCharType="end"/>
      </w:r>
      <w:bookmarkEnd w:id="2"/>
    </w:p>
    <w:p>
      <w:pPr>
        <w:pStyle w:val="Normal"/>
        <w:rPr/>
      </w:pPr>
      <w:r>
        <w:rPr/>
        <w:t xml:space="preserve">     </w:t>
      </w:r>
      <w:r>
        <w:rPr/>
        <w:t xml:space="preserve">2)   forma prawna : </w:t>
      </w:r>
      <w:r>
        <w:fldChar w:fldCharType="begin">
          <w:ffData>
            <w:name w:val="Tekst51"/>
            <w:enabled/>
            <w:calcOnExit w:val="0"/>
            <w:textInput/>
          </w:ffData>
        </w:fldChar>
      </w:r>
      <w:r>
        <w:rPr/>
        <w:instrText> FORMTEXT </w:instrText>
      </w:r>
      <w:r>
        <w:rPr/>
        <w:fldChar w:fldCharType="separate"/>
      </w:r>
      <w:bookmarkStart w:id="3" w:name="Tekst51"/>
      <w:r>
        <w:rPr>
          <w:lang w:val="pl-PL" w:eastAsia="pl-PL"/>
        </w:rPr>
        <w:t>     </w:t>
      </w:r>
      <w:r>
        <w:rPr>
          <w:lang w:val="pl-PL" w:eastAsia="pl-PL"/>
        </w:rPr>
      </w:r>
      <w:r>
        <w:rPr/>
        <w:fldChar w:fldCharType="end"/>
      </w:r>
      <w:bookmarkEnd w:id="3"/>
    </w:p>
    <w:p>
      <w:pPr>
        <w:pStyle w:val="Normal"/>
        <w:rPr/>
      </w:pPr>
      <w:r>
        <w:rPr/>
        <w:t xml:space="preserve">   </w:t>
      </w:r>
      <w:r>
        <w:rPr/>
        <w:t xml:space="preserve">*3)   data rejestracji/nr właściwego rejestru </w:t>
      </w:r>
      <w:r>
        <w:fldChar w:fldCharType="begin">
          <w:ffData>
            <w:name w:val="Tekst52"/>
            <w:enabled/>
            <w:calcOnExit w:val="0"/>
            <w:textInput/>
          </w:ffData>
        </w:fldChar>
      </w:r>
      <w:r>
        <w:rPr/>
        <w:instrText> FORMTEXT </w:instrText>
      </w:r>
      <w:r>
        <w:rPr/>
        <w:fldChar w:fldCharType="separate"/>
      </w:r>
      <w:bookmarkStart w:id="4" w:name="Tekst52"/>
      <w:r>
        <w:rPr>
          <w:lang w:val="pl-PL" w:eastAsia="pl-PL"/>
        </w:rPr>
        <w:t>     </w:t>
      </w:r>
      <w:r>
        <w:rPr>
          <w:lang w:val="pl-PL" w:eastAsia="pl-PL"/>
        </w:rPr>
      </w:r>
      <w:r>
        <w:rPr/>
        <w:fldChar w:fldCharType="end"/>
      </w:r>
      <w:bookmarkEnd w:id="4"/>
    </w:p>
    <w:p>
      <w:pPr>
        <w:pStyle w:val="Normal"/>
        <w:rPr/>
      </w:pPr>
      <w:r>
        <w:rPr/>
        <w:t xml:space="preserve">     </w:t>
      </w:r>
      <w:r>
        <w:rPr/>
        <w:t xml:space="preserve">4)   dokładny adres: </w:t>
      </w:r>
      <w:r>
        <w:fldChar w:fldCharType="begin">
          <w:ffData>
            <w:name w:val="Tekst53"/>
            <w:enabled/>
            <w:calcOnExit w:val="0"/>
            <w:textInput/>
          </w:ffData>
        </w:fldChar>
      </w:r>
      <w:r>
        <w:rPr/>
        <w:instrText> FORMTEXT </w:instrText>
      </w:r>
      <w:r>
        <w:rPr/>
        <w:fldChar w:fldCharType="separate"/>
      </w:r>
      <w:bookmarkStart w:id="5" w:name="Tekst53"/>
      <w:r>
        <w:rPr>
          <w:lang w:val="pl-PL" w:eastAsia="pl-PL"/>
        </w:rPr>
        <w:t>     </w:t>
      </w:r>
      <w:r>
        <w:rPr>
          <w:lang w:val="pl-PL" w:eastAsia="pl-PL"/>
        </w:rPr>
      </w:r>
      <w:r>
        <w:rPr/>
        <w:fldChar w:fldCharType="end"/>
      </w:r>
      <w:bookmarkEnd w:id="5"/>
      <w:r>
        <w:rPr/>
        <w:t xml:space="preserve"> ul. </w:t>
      </w:r>
      <w:r>
        <w:fldChar w:fldCharType="begin">
          <w:ffData>
            <w:name w:val="Tekst54"/>
            <w:enabled/>
            <w:calcOnExit w:val="0"/>
            <w:textInput/>
          </w:ffData>
        </w:fldChar>
      </w:r>
      <w:r>
        <w:rPr/>
        <w:instrText> FORMTEXT </w:instrText>
      </w:r>
      <w:r>
        <w:rPr/>
        <w:fldChar w:fldCharType="separate"/>
      </w:r>
      <w:bookmarkStart w:id="6" w:name="Tekst54"/>
      <w:r>
        <w:rPr>
          <w:lang w:val="pl-PL" w:eastAsia="pl-PL"/>
        </w:rPr>
        <w:t>     </w:t>
      </w:r>
      <w:r>
        <w:rPr>
          <w:lang w:val="pl-PL" w:eastAsia="pl-PL"/>
        </w:rPr>
      </w:r>
      <w:r>
        <w:rPr/>
        <w:fldChar w:fldCharType="end"/>
      </w:r>
      <w:bookmarkEnd w:id="6"/>
    </w:p>
    <w:p>
      <w:pPr>
        <w:pStyle w:val="Normal"/>
        <w:rPr/>
      </w:pPr>
      <w:r>
        <w:rPr/>
        <w:t xml:space="preserve">           </w:t>
      </w:r>
      <w:r>
        <w:rPr/>
        <w:t xml:space="preserve">gmina </w:t>
      </w:r>
      <w:r>
        <w:fldChar w:fldCharType="begin">
          <w:ffData>
            <w:name w:val="Tekst55"/>
            <w:enabled/>
            <w:calcOnExit w:val="0"/>
            <w:textInput/>
          </w:ffData>
        </w:fldChar>
      </w:r>
      <w:r>
        <w:rPr/>
        <w:instrText> FORMTEXT </w:instrText>
      </w:r>
      <w:r>
        <w:rPr/>
        <w:fldChar w:fldCharType="separate"/>
      </w:r>
      <w:bookmarkStart w:id="7" w:name="Tekst55"/>
      <w:r>
        <w:rPr>
          <w:lang w:val="pl-PL" w:eastAsia="pl-PL"/>
        </w:rPr>
        <w:t>     </w:t>
      </w:r>
      <w:r>
        <w:rPr>
          <w:lang w:val="pl-PL" w:eastAsia="pl-PL"/>
        </w:rPr>
      </w:r>
      <w:r>
        <w:rPr/>
        <w:fldChar w:fldCharType="end"/>
      </w:r>
      <w:bookmarkEnd w:id="7"/>
      <w:r>
        <w:rPr/>
        <w:t xml:space="preserve"> powiat </w:t>
      </w:r>
      <w:r>
        <w:fldChar w:fldCharType="begin">
          <w:ffData>
            <w:name w:val="Tekst56"/>
            <w:enabled/>
            <w:calcOnExit w:val="0"/>
            <w:textInput/>
          </w:ffData>
        </w:fldChar>
      </w:r>
      <w:r>
        <w:rPr/>
        <w:instrText> FORMTEXT </w:instrText>
      </w:r>
      <w:r>
        <w:rPr/>
        <w:fldChar w:fldCharType="separate"/>
      </w:r>
      <w:bookmarkStart w:id="8" w:name="Tekst56"/>
      <w:r>
        <w:rPr>
          <w:lang w:val="pl-PL" w:eastAsia="pl-PL"/>
        </w:rPr>
        <w:t>     </w:t>
      </w:r>
      <w:r>
        <w:rPr>
          <w:lang w:val="pl-PL" w:eastAsia="pl-PL"/>
        </w:rPr>
      </w:r>
      <w:r>
        <w:rPr/>
        <w:fldChar w:fldCharType="end"/>
      </w:r>
      <w:bookmarkEnd w:id="8"/>
      <w:r>
        <w:rPr/>
        <w:t xml:space="preserve"> województwo </w:t>
      </w:r>
      <w:r>
        <w:fldChar w:fldCharType="begin">
          <w:ffData>
            <w:name w:val="Tekst57"/>
            <w:enabled/>
            <w:calcOnExit w:val="0"/>
            <w:textInput/>
          </w:ffData>
        </w:fldChar>
      </w:r>
      <w:r>
        <w:rPr/>
        <w:instrText> FORMTEXT </w:instrText>
      </w:r>
      <w:r>
        <w:rPr/>
        <w:fldChar w:fldCharType="separate"/>
      </w:r>
      <w:bookmarkStart w:id="9" w:name="Tekst57"/>
      <w:r>
        <w:rPr>
          <w:lang w:val="pl-PL" w:eastAsia="pl-PL"/>
        </w:rPr>
        <w:t>     </w:t>
      </w:r>
      <w:r>
        <w:rPr>
          <w:lang w:val="pl-PL" w:eastAsia="pl-PL"/>
        </w:rPr>
      </w:r>
      <w:r>
        <w:rPr/>
        <w:fldChar w:fldCharType="end"/>
      </w:r>
      <w:bookmarkEnd w:id="9"/>
    </w:p>
    <w:p>
      <w:pPr>
        <w:pStyle w:val="Normal"/>
        <w:rPr/>
      </w:pPr>
      <w:r>
        <w:rPr/>
        <w:t xml:space="preserve">     </w:t>
      </w:r>
      <w:r>
        <w:rPr/>
        <w:t xml:space="preserve">5)    tel. </w:t>
      </w:r>
      <w:r>
        <w:fldChar w:fldCharType="begin">
          <w:ffData>
            <w:name w:val="Tekst58"/>
            <w:enabled/>
            <w:calcOnExit w:val="0"/>
            <w:textInput/>
          </w:ffData>
        </w:fldChar>
      </w:r>
      <w:r>
        <w:rPr/>
        <w:instrText> FORMTEXT </w:instrText>
      </w:r>
      <w:r>
        <w:rPr/>
        <w:fldChar w:fldCharType="separate"/>
      </w:r>
      <w:bookmarkStart w:id="10" w:name="Tekst58"/>
      <w:r>
        <w:rPr>
          <w:lang w:val="pl-PL" w:eastAsia="pl-PL"/>
        </w:rPr>
        <w:t>     </w:t>
      </w:r>
      <w:r>
        <w:rPr>
          <w:lang w:val="pl-PL" w:eastAsia="pl-PL"/>
        </w:rPr>
      </w:r>
      <w:r>
        <w:rPr/>
        <w:fldChar w:fldCharType="end"/>
      </w:r>
      <w:bookmarkEnd w:id="10"/>
      <w:r>
        <w:rPr/>
        <w:t xml:space="preserve"> fax </w:t>
      </w:r>
      <w:r>
        <w:fldChar w:fldCharType="begin">
          <w:ffData>
            <w:name w:val="Tekst59"/>
            <w:enabled/>
            <w:calcOnExit w:val="0"/>
            <w:textInput/>
          </w:ffData>
        </w:fldChar>
      </w:r>
      <w:r>
        <w:rPr/>
        <w:instrText> FORMTEXT </w:instrText>
      </w:r>
      <w:r>
        <w:rPr/>
        <w:fldChar w:fldCharType="separate"/>
      </w:r>
      <w:bookmarkStart w:id="11" w:name="Tekst59"/>
      <w:r>
        <w:rPr>
          <w:lang w:val="pl-PL" w:eastAsia="pl-PL"/>
        </w:rPr>
        <w:t>     </w:t>
      </w:r>
      <w:r>
        <w:rPr>
          <w:lang w:val="pl-PL" w:eastAsia="pl-PL"/>
        </w:rPr>
      </w:r>
      <w:r>
        <w:rPr/>
        <w:fldChar w:fldCharType="end"/>
      </w:r>
      <w:bookmarkEnd w:id="11"/>
    </w:p>
    <w:p>
      <w:pPr>
        <w:pStyle w:val="Normal"/>
        <w:rPr/>
      </w:pPr>
      <w:r>
        <w:rPr/>
        <w:t xml:space="preserve">     </w:t>
      </w:r>
      <w:r>
        <w:rPr/>
        <w:t xml:space="preserve">6)   nazwa banku i numer rachunku: </w:t>
      </w:r>
      <w:r>
        <w:fldChar w:fldCharType="begin">
          <w:ffData>
            <w:name w:val="Tekst60"/>
            <w:enabled/>
            <w:calcOnExit w:val="0"/>
            <w:textInput/>
          </w:ffData>
        </w:fldChar>
      </w:r>
      <w:r>
        <w:rPr/>
        <w:instrText> FORMTEXT </w:instrText>
      </w:r>
      <w:r>
        <w:rPr/>
        <w:fldChar w:fldCharType="separate"/>
      </w:r>
      <w:bookmarkStart w:id="12" w:name="Tekst60"/>
      <w:r>
        <w:rPr>
          <w:lang w:val="pl-PL" w:eastAsia="pl-PL"/>
        </w:rPr>
        <w:t>     </w:t>
      </w:r>
      <w:r>
        <w:rPr>
          <w:lang w:val="pl-PL" w:eastAsia="pl-PL"/>
        </w:rPr>
      </w:r>
      <w:r>
        <w:rPr/>
        <w:fldChar w:fldCharType="end"/>
      </w:r>
      <w:bookmarkEnd w:id="12"/>
    </w:p>
    <w:p>
      <w:pPr>
        <w:pStyle w:val="Normal"/>
        <w:rPr/>
      </w:pPr>
      <w:r>
        <w:rPr/>
        <w:t xml:space="preserve">   </w:t>
      </w:r>
      <w:r>
        <w:rPr/>
        <w:t xml:space="preserve">*7)   nazwiska i imiona oraz funkcje osób statutowo upoważnionych do reprezentowania </w:t>
      </w:r>
    </w:p>
    <w:p>
      <w:pPr>
        <w:pStyle w:val="Normal"/>
        <w:rPr/>
      </w:pPr>
      <w:r>
        <w:rPr/>
        <w:t xml:space="preserve">          </w:t>
      </w:r>
      <w:r>
        <w:rPr/>
        <w:t>podmiotu w kontaktach zewnętrznych i zawierania umów:</w:t>
      </w:r>
    </w:p>
    <w:p>
      <w:pPr>
        <w:pStyle w:val="Normal"/>
        <w:rPr/>
      </w:pPr>
      <w:r>
        <w:rPr/>
        <w:t xml:space="preserve">          </w:t>
      </w:r>
      <w:r>
        <w:fldChar w:fldCharType="begin">
          <w:ffData>
            <w:name w:val="Tekst61"/>
            <w:enabled/>
            <w:calcOnExit w:val="0"/>
            <w:textInput/>
          </w:ffData>
        </w:fldChar>
      </w:r>
      <w:r>
        <w:rPr/>
        <w:instrText> FORMTEXT </w:instrText>
      </w:r>
      <w:r>
        <w:rPr/>
        <w:fldChar w:fldCharType="separate"/>
      </w:r>
      <w:bookmarkStart w:id="13" w:name="Tekst61"/>
      <w:r>
        <w:rPr>
          <w:lang w:val="pl-PL" w:eastAsia="pl-PL"/>
        </w:rPr>
        <w:t>     </w:t>
      </w:r>
      <w:r>
        <w:rPr>
          <w:lang w:val="pl-PL" w:eastAsia="pl-PL"/>
        </w:rPr>
      </w:r>
      <w:r>
        <w:rPr/>
        <w:fldChar w:fldCharType="end"/>
      </w:r>
      <w:bookmarkEnd w:id="13"/>
    </w:p>
    <w:p>
      <w:pPr>
        <w:pStyle w:val="Normal"/>
        <w:rPr/>
      </w:pPr>
      <w:r>
        <w:rPr/>
        <w:t xml:space="preserve">* - wypełniać w przypadku osób prawnych i jednostek organizacyjnych mniemających osobowości prawnej </w:t>
      </w:r>
    </w:p>
    <w:p>
      <w:pPr>
        <w:pStyle w:val="Normal"/>
        <w:rPr>
          <w:b/>
          <w:b/>
        </w:rPr>
      </w:pPr>
      <w:r>
        <w:rPr>
          <w:b/>
        </w:rPr>
        <w:t>II.  Dane zabytku</w:t>
      </w:r>
    </w:p>
    <w:p>
      <w:pPr>
        <w:pStyle w:val="Normal"/>
        <w:rPr>
          <w:b/>
          <w:b/>
        </w:rPr>
      </w:pPr>
      <w:r>
        <w:rPr>
          <w:b/>
        </w:rPr>
      </w:r>
    </w:p>
    <w:p>
      <w:pPr>
        <w:pStyle w:val="Normal"/>
        <w:numPr>
          <w:ilvl w:val="0"/>
          <w:numId w:val="18"/>
        </w:numPr>
        <w:rPr/>
      </w:pPr>
      <w:r>
        <w:rPr/>
        <w:t xml:space="preserve">nazwa zabytku: </w:t>
      </w:r>
      <w:r>
        <w:fldChar w:fldCharType="begin">
          <w:ffData>
            <w:name w:val="Tekst62"/>
            <w:enabled/>
            <w:calcOnExit w:val="0"/>
            <w:textInput/>
          </w:ffData>
        </w:fldChar>
      </w:r>
      <w:r>
        <w:rPr/>
        <w:instrText> FORMTEXT </w:instrText>
      </w:r>
      <w:r>
        <w:rPr/>
        <w:fldChar w:fldCharType="separate"/>
      </w:r>
      <w:bookmarkStart w:id="14" w:name="Tekst62"/>
      <w:r>
        <w:rPr>
          <w:lang w:val="pl-PL" w:eastAsia="pl-PL"/>
        </w:rPr>
        <w:t>     </w:t>
      </w:r>
      <w:r>
        <w:rPr>
          <w:lang w:val="pl-PL" w:eastAsia="pl-PL"/>
        </w:rPr>
      </w:r>
      <w:r>
        <w:rPr/>
        <w:fldChar w:fldCharType="end"/>
      </w:r>
      <w:bookmarkEnd w:id="14"/>
    </w:p>
    <w:p>
      <w:pPr>
        <w:pStyle w:val="Normal"/>
        <w:rPr/>
      </w:pPr>
      <w:r>
        <w:rPr/>
      </w:r>
    </w:p>
    <w:p>
      <w:pPr>
        <w:pStyle w:val="Normal"/>
        <w:numPr>
          <w:ilvl w:val="0"/>
          <w:numId w:val="18"/>
        </w:numPr>
        <w:rPr/>
      </w:pPr>
      <w:r>
        <w:rPr/>
        <w:t xml:space="preserve">dane o zabytku uwidocznione w rejestrze zabytków(między innymi nr w rejestrze zabytków data wpisu): </w:t>
      </w:r>
      <w:r>
        <w:fldChar w:fldCharType="begin">
          <w:ffData>
            <w:name w:val="Tekst63"/>
            <w:enabled/>
            <w:calcOnExit w:val="0"/>
            <w:textInput/>
          </w:ffData>
        </w:fldChar>
      </w:r>
      <w:r>
        <w:rPr/>
        <w:instrText> FORMTEXT </w:instrText>
      </w:r>
      <w:r>
        <w:rPr/>
        <w:fldChar w:fldCharType="separate"/>
      </w:r>
      <w:bookmarkStart w:id="15" w:name="Tekst63"/>
      <w:r>
        <w:rPr>
          <w:lang w:val="pl-PL" w:eastAsia="pl-PL"/>
        </w:rPr>
        <w:t>     </w:t>
      </w:r>
      <w:r>
        <w:rPr>
          <w:lang w:val="pl-PL" w:eastAsia="pl-PL"/>
        </w:rPr>
      </w:r>
      <w:r>
        <w:rPr/>
        <w:fldChar w:fldCharType="end"/>
      </w:r>
      <w:bookmarkEnd w:id="15"/>
    </w:p>
    <w:p>
      <w:pPr>
        <w:pStyle w:val="Normal"/>
        <w:rPr/>
      </w:pPr>
      <w:r>
        <w:rPr/>
      </w:r>
    </w:p>
    <w:p>
      <w:pPr>
        <w:pStyle w:val="Normal"/>
        <w:numPr>
          <w:ilvl w:val="0"/>
          <w:numId w:val="18"/>
        </w:numPr>
        <w:rPr/>
      </w:pPr>
      <w:r>
        <w:rPr/>
        <w:t xml:space="preserve">tytuł do władania zabytkiem: </w:t>
      </w:r>
      <w:r>
        <w:fldChar w:fldCharType="begin">
          <w:ffData>
            <w:name w:val="Tekst64"/>
            <w:enabled/>
            <w:calcOnExit w:val="0"/>
            <w:textInput/>
          </w:ffData>
        </w:fldChar>
      </w:r>
      <w:r>
        <w:rPr/>
        <w:instrText> FORMTEXT </w:instrText>
      </w:r>
      <w:r>
        <w:rPr/>
        <w:fldChar w:fldCharType="separate"/>
      </w:r>
      <w:bookmarkStart w:id="16" w:name="Tekst64"/>
      <w:r>
        <w:rPr>
          <w:lang w:val="pl-PL" w:eastAsia="pl-PL"/>
        </w:rPr>
        <w:t>     </w:t>
      </w:r>
      <w:r>
        <w:rPr>
          <w:lang w:val="pl-PL" w:eastAsia="pl-PL"/>
        </w:rPr>
      </w:r>
      <w:r>
        <w:rPr/>
        <w:fldChar w:fldCharType="end"/>
      </w:r>
      <w:bookmarkEnd w:id="16"/>
    </w:p>
    <w:p>
      <w:pPr>
        <w:pStyle w:val="Normal"/>
        <w:rPr/>
      </w:pPr>
      <w:r>
        <w:rPr/>
      </w:r>
    </w:p>
    <w:p>
      <w:pPr>
        <w:pStyle w:val="Normal"/>
        <w:numPr>
          <w:ilvl w:val="0"/>
          <w:numId w:val="18"/>
        </w:numPr>
        <w:rPr/>
      </w:pPr>
      <w:r>
        <w:rPr/>
        <w:t xml:space="preserve">uzyskane pozwolenie na przeprowadzenie prac konserwatorskich, restauratorskich lub robót budowlanych przy zabytku wydane przez właściwy organ ochrony zabytków (wydane przez, data, nr zezwolenia): </w:t>
      </w:r>
      <w:r>
        <w:fldChar w:fldCharType="begin">
          <w:ffData>
            <w:name w:val="Tekst65"/>
            <w:enabled/>
            <w:calcOnExit w:val="0"/>
            <w:textInput/>
          </w:ffData>
        </w:fldChar>
      </w:r>
      <w:r>
        <w:rPr/>
        <w:instrText> FORMTEXT </w:instrText>
      </w:r>
      <w:r>
        <w:rPr/>
        <w:fldChar w:fldCharType="separate"/>
      </w:r>
      <w:bookmarkStart w:id="17" w:name="Tekst65"/>
      <w:r>
        <w:rPr>
          <w:lang w:val="pl-PL" w:eastAsia="pl-PL"/>
        </w:rPr>
        <w:t>     </w:t>
      </w:r>
      <w:r>
        <w:rPr>
          <w:lang w:val="pl-PL" w:eastAsia="pl-PL"/>
        </w:rPr>
      </w:r>
      <w:r>
        <w:rPr/>
        <w:fldChar w:fldCharType="end"/>
      </w:r>
      <w:bookmarkEnd w:id="17"/>
    </w:p>
    <w:p>
      <w:pPr>
        <w:pStyle w:val="Normal"/>
        <w:rPr/>
      </w:pPr>
      <w:r>
        <w:rPr/>
        <w:t xml:space="preserve">           </w:t>
      </w:r>
    </w:p>
    <w:p>
      <w:pPr>
        <w:pStyle w:val="Normal"/>
        <w:numPr>
          <w:ilvl w:val="0"/>
          <w:numId w:val="18"/>
        </w:numPr>
        <w:rPr/>
      </w:pPr>
      <w:r>
        <w:rPr/>
        <w:t xml:space="preserve">uzyskane pozwolenie na przeprowadzenie prac budowlanych przy zabytku: (wydane przez, data, nr zezwolenia): </w:t>
      </w:r>
      <w:r>
        <w:fldChar w:fldCharType="begin">
          <w:ffData>
            <w:name w:val="Tekst66"/>
            <w:enabled/>
            <w:calcOnExit w:val="0"/>
            <w:textInput/>
          </w:ffData>
        </w:fldChar>
      </w:r>
      <w:r>
        <w:rPr/>
        <w:instrText> FORMTEXT </w:instrText>
      </w:r>
      <w:r>
        <w:rPr/>
        <w:fldChar w:fldCharType="separate"/>
      </w:r>
      <w:bookmarkStart w:id="18" w:name="Tekst66"/>
      <w:r>
        <w:rPr>
          <w:lang w:val="pl-PL" w:eastAsia="pl-PL"/>
        </w:rPr>
        <w:t>     </w:t>
      </w:r>
      <w:r>
        <w:rPr>
          <w:lang w:val="pl-PL" w:eastAsia="pl-PL"/>
        </w:rPr>
      </w:r>
      <w:r>
        <w:rPr/>
        <w:fldChar w:fldCharType="end"/>
      </w:r>
      <w:bookmarkEnd w:id="18"/>
    </w:p>
    <w:p>
      <w:pPr>
        <w:pStyle w:val="Normal"/>
        <w:rPr/>
      </w:pPr>
      <w:r>
        <w:rPr/>
      </w:r>
    </w:p>
    <w:p>
      <w:pPr>
        <w:pStyle w:val="Normal"/>
        <w:numPr>
          <w:ilvl w:val="0"/>
          <w:numId w:val="18"/>
        </w:numPr>
        <w:rPr/>
      </w:pPr>
      <w:r>
        <w:rPr/>
        <w:t xml:space="preserve">uzasadnienie istotnego znaczenia historycznego, artystycznego, lub naukowego zabytku.): </w:t>
      </w:r>
      <w:r>
        <w:fldChar w:fldCharType="begin">
          <w:ffData>
            <w:name w:val="Tekst67"/>
            <w:enabled/>
            <w:calcOnExit w:val="0"/>
            <w:textInput/>
          </w:ffData>
        </w:fldChar>
      </w:r>
      <w:r>
        <w:rPr/>
        <w:instrText> FORMTEXT </w:instrText>
      </w:r>
      <w:r>
        <w:rPr/>
        <w:fldChar w:fldCharType="separate"/>
      </w:r>
      <w:bookmarkStart w:id="19" w:name="Tekst67"/>
      <w:r>
        <w:rPr>
          <w:lang w:val="pl-PL" w:eastAsia="pl-PL"/>
        </w:rPr>
        <w:t>     </w:t>
      </w:r>
      <w:r>
        <w:rPr>
          <w:lang w:val="pl-PL" w:eastAsia="pl-PL"/>
        </w:rPr>
      </w:r>
      <w:r>
        <w:rPr/>
        <w:fldChar w:fldCharType="end"/>
      </w:r>
      <w:bookmarkEnd w:id="19"/>
    </w:p>
    <w:p>
      <w:pPr>
        <w:pStyle w:val="Normal"/>
        <w:rPr/>
      </w:pPr>
      <w:r>
        <w:rPr/>
        <w:t xml:space="preserve">           </w:t>
      </w:r>
    </w:p>
    <w:p>
      <w:pPr>
        <w:pStyle w:val="Normal"/>
        <w:rPr>
          <w:b/>
          <w:b/>
        </w:rPr>
      </w:pPr>
      <w:r>
        <w:rPr>
          <w:b/>
        </w:rPr>
      </w:r>
    </w:p>
    <w:p>
      <w:pPr>
        <w:pStyle w:val="Normal"/>
        <w:rPr/>
      </w:pPr>
      <w:r>
        <w:rPr>
          <w:b/>
        </w:rPr>
        <w:t>III.  Szczegółowe informacje o pracach lub robotach</w:t>
      </w:r>
      <w:r>
        <w:rPr/>
        <w:t xml:space="preserve"> </w:t>
      </w:r>
    </w:p>
    <w:p>
      <w:pPr>
        <w:pStyle w:val="Normal"/>
        <w:rPr/>
      </w:pPr>
      <w:r>
        <w:rPr/>
      </w:r>
    </w:p>
    <w:p>
      <w:pPr>
        <w:pStyle w:val="Normal"/>
        <w:numPr>
          <w:ilvl w:val="0"/>
          <w:numId w:val="22"/>
        </w:numPr>
        <w:rPr/>
      </w:pPr>
      <w:r>
        <w:rPr/>
        <w:t>zakres rzeczowy prac lub robót:</w:t>
      </w:r>
    </w:p>
    <w:p>
      <w:pPr>
        <w:pStyle w:val="Normal"/>
        <w:rPr/>
      </w:pPr>
      <w:r>
        <w:rPr/>
        <w:t xml:space="preserve">           </w:t>
      </w:r>
      <w:r>
        <w:fldChar w:fldCharType="begin">
          <w:ffData>
            <w:name w:val="Tekst68"/>
            <w:enabled/>
            <w:calcOnExit w:val="0"/>
            <w:textInput/>
          </w:ffData>
        </w:fldChar>
      </w:r>
      <w:r>
        <w:rPr/>
        <w:instrText> FORMTEXT </w:instrText>
      </w:r>
      <w:r>
        <w:rPr/>
        <w:fldChar w:fldCharType="separate"/>
      </w:r>
      <w:bookmarkStart w:id="20" w:name="Tekst68"/>
      <w:r>
        <w:rPr>
          <w:lang w:val="pl-PL" w:eastAsia="pl-PL"/>
        </w:rPr>
        <w:t>     </w:t>
      </w:r>
      <w:r>
        <w:rPr>
          <w:lang w:val="pl-PL" w:eastAsia="pl-PL"/>
        </w:rPr>
      </w:r>
      <w:r>
        <w:rPr/>
        <w:fldChar w:fldCharType="end"/>
      </w:r>
      <w:bookmarkEnd w:id="20"/>
    </w:p>
    <w:p>
      <w:pPr>
        <w:pStyle w:val="Normal"/>
        <w:ind w:left="300" w:hanging="0"/>
        <w:rPr/>
      </w:pPr>
      <w:r>
        <w:rPr/>
      </w:r>
    </w:p>
    <w:p>
      <w:pPr>
        <w:pStyle w:val="Normal"/>
        <w:numPr>
          <w:ilvl w:val="0"/>
          <w:numId w:val="22"/>
        </w:numPr>
        <w:rPr/>
      </w:pPr>
      <w:r>
        <w:rPr/>
        <w:t>uzasadnienie konieczności przeprowadzenia prac lub robót:</w:t>
      </w:r>
    </w:p>
    <w:p>
      <w:pPr>
        <w:pStyle w:val="Normal"/>
        <w:rPr/>
      </w:pPr>
      <w:r>
        <w:rPr/>
        <w:t xml:space="preserve">           </w:t>
      </w:r>
      <w:r>
        <w:fldChar w:fldCharType="begin">
          <w:ffData>
            <w:name w:val="Tekst69"/>
            <w:enabled/>
            <w:calcOnExit w:val="0"/>
            <w:textInput/>
          </w:ffData>
        </w:fldChar>
      </w:r>
      <w:r>
        <w:rPr/>
        <w:instrText> FORMTEXT </w:instrText>
      </w:r>
      <w:r>
        <w:rPr/>
        <w:fldChar w:fldCharType="separate"/>
      </w:r>
      <w:bookmarkStart w:id="21" w:name="Tekst69"/>
      <w:r>
        <w:rPr>
          <w:lang w:val="pl-PL" w:eastAsia="pl-PL"/>
        </w:rPr>
        <w:t>     </w:t>
      </w:r>
      <w:r>
        <w:rPr>
          <w:lang w:val="pl-PL" w:eastAsia="pl-PL"/>
        </w:rPr>
      </w:r>
      <w:r>
        <w:rPr/>
        <w:fldChar w:fldCharType="end"/>
      </w:r>
      <w:bookmarkEnd w:id="21"/>
    </w:p>
    <w:p>
      <w:pPr>
        <w:pStyle w:val="Normal"/>
        <w:rPr/>
      </w:pPr>
      <w:r>
        <w:rPr/>
      </w:r>
    </w:p>
    <w:p>
      <w:pPr>
        <w:pStyle w:val="Normal"/>
        <w:rPr>
          <w:b/>
          <w:b/>
        </w:rPr>
      </w:pPr>
      <w:r>
        <w:rPr>
          <w:b/>
        </w:rPr>
        <w:t>IV.  Kalkulacja przewidywanych kosztów realizacji prac lub robót budowlanych</w:t>
      </w:r>
    </w:p>
    <w:p>
      <w:pPr>
        <w:pStyle w:val="Normal"/>
        <w:rPr>
          <w:b/>
          <w:b/>
        </w:rPr>
      </w:pPr>
      <w:r>
        <w:rPr>
          <w:b/>
        </w:rPr>
      </w:r>
    </w:p>
    <w:p>
      <w:pPr>
        <w:pStyle w:val="Normal"/>
        <w:rPr/>
      </w:pPr>
      <w:r>
        <w:rPr/>
        <w:t xml:space="preserve">          </w:t>
      </w:r>
      <w:r>
        <w:rPr/>
        <w:t xml:space="preserve">całkowity koszt (w zł.) :                                                    </w:t>
      </w:r>
      <w:r>
        <w:fldChar w:fldCharType="begin">
          <w:ffData>
            <w:name w:val="Tekst70"/>
            <w:enabled/>
            <w:calcOnExit w:val="0"/>
            <w:textInput/>
          </w:ffData>
        </w:fldChar>
      </w:r>
      <w:r>
        <w:rPr/>
        <w:instrText> FORMTEXT </w:instrText>
      </w:r>
      <w:r>
        <w:rPr/>
        <w:fldChar w:fldCharType="separate"/>
      </w:r>
      <w:bookmarkStart w:id="22" w:name="Tekst70"/>
      <w:r>
        <w:rPr>
          <w:lang w:val="pl-PL" w:eastAsia="pl-PL"/>
        </w:rPr>
        <w:t>     </w:t>
      </w:r>
      <w:r>
        <w:rPr>
          <w:lang w:val="pl-PL" w:eastAsia="pl-PL"/>
        </w:rPr>
      </w:r>
      <w:r>
        <w:rPr/>
        <w:fldChar w:fldCharType="end"/>
      </w:r>
      <w:bookmarkEnd w:id="22"/>
    </w:p>
    <w:p>
      <w:pPr>
        <w:pStyle w:val="Normal"/>
        <w:rPr/>
      </w:pPr>
      <w:r>
        <w:rPr/>
        <w:t xml:space="preserve">          </w:t>
      </w:r>
      <w:r>
        <w:rPr/>
        <w:t xml:space="preserve">-   w tym wnioskowana wielkość dotacji ( w zł.)              </w:t>
      </w:r>
      <w:r>
        <w:fldChar w:fldCharType="begin">
          <w:ffData>
            <w:name w:val="Tekst71"/>
            <w:enabled/>
            <w:calcOnExit w:val="0"/>
            <w:textInput/>
          </w:ffData>
        </w:fldChar>
      </w:r>
      <w:r>
        <w:rPr/>
        <w:instrText> FORMTEXT </w:instrText>
      </w:r>
      <w:r>
        <w:rPr/>
        <w:fldChar w:fldCharType="separate"/>
      </w:r>
      <w:bookmarkStart w:id="23" w:name="Tekst71"/>
      <w:r>
        <w:rPr>
          <w:lang w:val="pl-PL" w:eastAsia="pl-PL"/>
        </w:rPr>
        <w:t>     </w:t>
      </w:r>
      <w:r>
        <w:rPr>
          <w:lang w:val="pl-PL" w:eastAsia="pl-PL"/>
        </w:rPr>
      </w:r>
      <w:r>
        <w:rPr/>
        <w:fldChar w:fldCharType="end"/>
      </w:r>
      <w:bookmarkEnd w:id="23"/>
    </w:p>
    <w:p>
      <w:pPr>
        <w:pStyle w:val="Normal"/>
        <w:rPr/>
      </w:pPr>
      <w:r>
        <w:rPr/>
        <w:t xml:space="preserve">          </w:t>
      </w:r>
      <w:r>
        <w:rPr/>
        <w:t xml:space="preserve">-   w tym wielkość środków własnych (w zł.)                   </w:t>
      </w:r>
      <w:r>
        <w:fldChar w:fldCharType="begin">
          <w:ffData>
            <w:name w:val="Tekst72"/>
            <w:enabled/>
            <w:calcOnExit w:val="0"/>
            <w:textInput/>
          </w:ffData>
        </w:fldChar>
      </w:r>
      <w:r>
        <w:rPr/>
        <w:instrText> FORMTEXT </w:instrText>
      </w:r>
      <w:r>
        <w:rPr/>
        <w:fldChar w:fldCharType="separate"/>
      </w:r>
      <w:bookmarkStart w:id="24" w:name="Tekst72"/>
      <w:r>
        <w:rPr>
          <w:lang w:val="pl-PL" w:eastAsia="pl-PL"/>
        </w:rPr>
        <w:t>     </w:t>
      </w:r>
      <w:r>
        <w:rPr>
          <w:lang w:val="pl-PL" w:eastAsia="pl-PL"/>
        </w:rPr>
      </w:r>
      <w:r>
        <w:rPr/>
        <w:fldChar w:fldCharType="end"/>
      </w:r>
      <w:bookmarkEnd w:id="24"/>
    </w:p>
    <w:p>
      <w:pPr>
        <w:pStyle w:val="Normal"/>
        <w:rPr/>
      </w:pPr>
      <w:r>
        <w:rPr/>
        <w:t xml:space="preserve">          </w:t>
      </w:r>
      <w:r>
        <w:rPr/>
        <w:t>-   w tym inne źródła (należy wskazać) (w zł)</w:t>
        <w:tab/>
        <w:tab/>
        <w:t xml:space="preserve">  </w:t>
      </w:r>
      <w:r>
        <w:fldChar w:fldCharType="begin">
          <w:ffData>
            <w:name w:val="Tekst73"/>
            <w:enabled/>
            <w:calcOnExit w:val="0"/>
            <w:textInput/>
          </w:ffData>
        </w:fldChar>
      </w:r>
      <w:r>
        <w:rPr/>
        <w:instrText> FORMTEXT </w:instrText>
      </w:r>
      <w:r>
        <w:rPr/>
        <w:fldChar w:fldCharType="separate"/>
      </w:r>
      <w:bookmarkStart w:id="25" w:name="Tekst73"/>
      <w:r>
        <w:rPr>
          <w:lang w:val="pl-PL" w:eastAsia="pl-PL"/>
        </w:rPr>
        <w:t>     </w:t>
      </w:r>
      <w:r>
        <w:rPr>
          <w:lang w:val="pl-PL" w:eastAsia="pl-PL"/>
        </w:rPr>
      </w:r>
      <w:r>
        <w:rPr/>
        <w:fldChar w:fldCharType="end"/>
      </w:r>
      <w:bookmarkEnd w:id="25"/>
    </w:p>
    <w:p>
      <w:pPr>
        <w:pStyle w:val="Normal"/>
        <w:rPr/>
      </w:pPr>
      <w:r>
        <w:rPr/>
      </w:r>
    </w:p>
    <w:p>
      <w:pPr>
        <w:pStyle w:val="Normal"/>
        <w:rPr>
          <w:b/>
          <w:b/>
        </w:rPr>
      </w:pPr>
      <w:r>
        <w:rPr>
          <w:b/>
        </w:rPr>
        <w:t>V. Harmonogram prac lub robót wraz z kosztorysem i wskazaniem źródeł finansowania (w zł).</w:t>
      </w:r>
    </w:p>
    <w:p>
      <w:pPr>
        <w:pStyle w:val="Normal"/>
        <w:rPr>
          <w:b/>
          <w:b/>
        </w:rPr>
      </w:pPr>
      <w:r>
        <w:rPr>
          <w:b/>
        </w:rPr>
      </w:r>
    </w:p>
    <w:p>
      <w:pPr>
        <w:pStyle w:val="Normal"/>
        <w:rPr>
          <w:b/>
          <w:b/>
        </w:rPr>
      </w:pPr>
      <w:r>
        <w:rPr>
          <w:b/>
        </w:rPr>
      </w:r>
    </w:p>
    <w:tbl>
      <w:tblPr>
        <w:tblW w:w="8586" w:type="dxa"/>
        <w:jc w:val="left"/>
        <w:tblInd w:w="353" w:type="dxa"/>
        <w:tblCellMar>
          <w:top w:w="0" w:type="dxa"/>
          <w:left w:w="70" w:type="dxa"/>
          <w:bottom w:w="0" w:type="dxa"/>
          <w:right w:w="70" w:type="dxa"/>
        </w:tblCellMar>
      </w:tblPr>
      <w:tblGrid>
        <w:gridCol w:w="774"/>
        <w:gridCol w:w="1791"/>
        <w:gridCol w:w="2025"/>
        <w:gridCol w:w="2025"/>
        <w:gridCol w:w="1971"/>
      </w:tblGrid>
      <w:tr>
        <w:trPr>
          <w:trHeight w:val="835" w:hRule="atLeast"/>
        </w:trPr>
        <w:tc>
          <w:tcPr>
            <w:tcW w:w="774" w:type="dxa"/>
            <w:tcBorders>
              <w:top w:val="single" w:sz="6" w:space="0" w:color="000000"/>
              <w:left w:val="single" w:sz="6" w:space="0" w:color="000000"/>
              <w:bottom w:val="single" w:sz="6" w:space="0" w:color="000000"/>
            </w:tcBorders>
            <w:shd w:fill="auto" w:val="clear"/>
          </w:tcPr>
          <w:p>
            <w:pPr>
              <w:pStyle w:val="Normal"/>
              <w:snapToGrid w:val="false"/>
              <w:jc w:val="center"/>
              <w:rPr/>
            </w:pPr>
            <w:r>
              <w:rPr/>
            </w:r>
          </w:p>
          <w:p>
            <w:pPr>
              <w:pStyle w:val="Normal"/>
              <w:jc w:val="center"/>
              <w:rPr/>
            </w:pPr>
            <w:r>
              <w:rPr/>
              <w:t>Lp.</w:t>
            </w:r>
          </w:p>
        </w:tc>
        <w:tc>
          <w:tcPr>
            <w:tcW w:w="1791" w:type="dxa"/>
            <w:tcBorders>
              <w:top w:val="single" w:sz="6" w:space="0" w:color="000000"/>
              <w:left w:val="single" w:sz="6" w:space="0" w:color="000000"/>
              <w:bottom w:val="single" w:sz="6" w:space="0" w:color="000000"/>
            </w:tcBorders>
            <w:shd w:fill="auto" w:val="clear"/>
          </w:tcPr>
          <w:p>
            <w:pPr>
              <w:pStyle w:val="Normal"/>
              <w:jc w:val="center"/>
              <w:rPr/>
            </w:pPr>
            <w:r>
              <w:rPr/>
              <w:t>Rodzaj prac lub robót</w:t>
            </w:r>
          </w:p>
        </w:tc>
        <w:tc>
          <w:tcPr>
            <w:tcW w:w="2025" w:type="dxa"/>
            <w:tcBorders>
              <w:top w:val="single" w:sz="6" w:space="0" w:color="000000"/>
              <w:left w:val="single" w:sz="6" w:space="0" w:color="000000"/>
              <w:bottom w:val="single" w:sz="6" w:space="0" w:color="000000"/>
            </w:tcBorders>
            <w:shd w:fill="auto" w:val="clear"/>
          </w:tcPr>
          <w:p>
            <w:pPr>
              <w:pStyle w:val="Normal"/>
              <w:jc w:val="center"/>
              <w:rPr/>
            </w:pPr>
            <w:r>
              <w:rPr/>
              <w:t>Przewidywany okres wykonywania prac lub robót</w:t>
            </w:r>
          </w:p>
        </w:tc>
        <w:tc>
          <w:tcPr>
            <w:tcW w:w="2025" w:type="dxa"/>
            <w:tcBorders>
              <w:top w:val="single" w:sz="6" w:space="0" w:color="000000"/>
              <w:left w:val="single" w:sz="6" w:space="0" w:color="000000"/>
              <w:bottom w:val="single" w:sz="6" w:space="0" w:color="000000"/>
            </w:tcBorders>
            <w:shd w:fill="auto" w:val="clear"/>
          </w:tcPr>
          <w:p>
            <w:pPr>
              <w:pStyle w:val="Normal"/>
              <w:jc w:val="center"/>
              <w:rPr/>
            </w:pPr>
            <w:r>
              <w:rPr/>
              <w:t>Przewidywany koszt wykonania prac lub robót</w:t>
            </w:r>
          </w:p>
        </w:tc>
        <w:tc>
          <w:tcPr>
            <w:tcW w:w="1971" w:type="dxa"/>
            <w:tcBorders>
              <w:top w:val="single" w:sz="6" w:space="0" w:color="000000"/>
              <w:left w:val="single" w:sz="6" w:space="0" w:color="000000"/>
              <w:bottom w:val="single" w:sz="6" w:space="0" w:color="000000"/>
              <w:right w:val="single" w:sz="6" w:space="0" w:color="000000"/>
            </w:tcBorders>
            <w:shd w:fill="auto" w:val="clear"/>
          </w:tcPr>
          <w:p>
            <w:pPr>
              <w:pStyle w:val="Normal"/>
              <w:jc w:val="center"/>
              <w:rPr/>
            </w:pPr>
            <w:r>
              <w:rPr/>
              <w:t>Źródło (źródła) finansowania prac i robót *</w:t>
            </w:r>
          </w:p>
        </w:tc>
      </w:tr>
      <w:tr>
        <w:trPr/>
        <w:tc>
          <w:tcPr>
            <w:tcW w:w="774"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4"/>
                  <w:enabled/>
                  <w:calcOnExit w:val="0"/>
                  <w:textInput/>
                </w:ffData>
              </w:fldChar>
            </w:r>
            <w:r>
              <w:rPr/>
              <w:instrText> FORMTEXT </w:instrText>
            </w:r>
            <w:r>
              <w:rPr/>
              <w:fldChar w:fldCharType="separate"/>
            </w:r>
            <w:bookmarkStart w:id="26" w:name="Tekst74"/>
            <w:r>
              <w:rPr>
                <w:lang w:val="pl-PL" w:eastAsia="pl-PL"/>
              </w:rPr>
              <w:t>     </w:t>
            </w:r>
            <w:r>
              <w:rPr>
                <w:lang w:val="pl-PL" w:eastAsia="pl-PL"/>
              </w:rPr>
            </w:r>
            <w:r>
              <w:rPr/>
              <w:fldChar w:fldCharType="end"/>
            </w:r>
            <w:bookmarkEnd w:id="26"/>
          </w:p>
        </w:tc>
        <w:tc>
          <w:tcPr>
            <w:tcW w:w="1791"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7"/>
                  <w:enabled/>
                  <w:calcOnExit w:val="0"/>
                  <w:textInput/>
                </w:ffData>
              </w:fldChar>
            </w:r>
            <w:r>
              <w:rPr/>
              <w:instrText> FORMTEXT </w:instrText>
            </w:r>
            <w:r>
              <w:rPr/>
              <w:fldChar w:fldCharType="separate"/>
            </w:r>
            <w:bookmarkStart w:id="27" w:name="Tekst77"/>
            <w:r>
              <w:rPr>
                <w:lang w:val="pl-PL" w:eastAsia="pl-PL"/>
              </w:rPr>
              <w:t>     </w:t>
            </w:r>
            <w:r>
              <w:rPr>
                <w:lang w:val="pl-PL" w:eastAsia="pl-PL"/>
              </w:rPr>
            </w:r>
            <w:r>
              <w:rPr/>
              <w:fldChar w:fldCharType="end"/>
            </w:r>
            <w:bookmarkEnd w:id="27"/>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0"/>
                  <w:enabled/>
                  <w:calcOnExit w:val="0"/>
                  <w:textInput/>
                </w:ffData>
              </w:fldChar>
            </w:r>
            <w:r>
              <w:rPr/>
              <w:instrText> FORMTEXT </w:instrText>
            </w:r>
            <w:r>
              <w:rPr/>
              <w:fldChar w:fldCharType="separate"/>
            </w:r>
            <w:bookmarkStart w:id="28" w:name="Tekst80"/>
            <w:r>
              <w:rPr>
                <w:lang w:val="pl-PL" w:eastAsia="pl-PL"/>
              </w:rPr>
              <w:t>     </w:t>
            </w:r>
            <w:r>
              <w:rPr>
                <w:lang w:val="pl-PL" w:eastAsia="pl-PL"/>
              </w:rPr>
            </w:r>
            <w:r>
              <w:rPr/>
              <w:fldChar w:fldCharType="end"/>
            </w:r>
            <w:bookmarkEnd w:id="28"/>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4"/>
                  <w:enabled/>
                  <w:calcOnExit w:val="0"/>
                  <w:textInput/>
                </w:ffData>
              </w:fldChar>
            </w:r>
            <w:r>
              <w:rPr/>
              <w:instrText> FORMTEXT </w:instrText>
            </w:r>
            <w:r>
              <w:rPr/>
              <w:fldChar w:fldCharType="separate"/>
            </w:r>
            <w:bookmarkStart w:id="29" w:name="Tekst84"/>
            <w:r>
              <w:rPr>
                <w:lang w:val="pl-PL" w:eastAsia="pl-PL"/>
              </w:rPr>
              <w:t>     </w:t>
            </w:r>
            <w:r>
              <w:rPr>
                <w:lang w:val="pl-PL" w:eastAsia="pl-PL"/>
              </w:rPr>
            </w:r>
            <w:r>
              <w:rPr/>
              <w:fldChar w:fldCharType="end"/>
            </w:r>
            <w:bookmarkEnd w:id="29"/>
          </w:p>
        </w:tc>
        <w:tc>
          <w:tcPr>
            <w:tcW w:w="1971" w:type="dxa"/>
            <w:tcBorders>
              <w:top w:val="single" w:sz="6" w:space="0" w:color="000000"/>
              <w:left w:val="single" w:sz="6" w:space="0" w:color="000000"/>
              <w:bottom w:val="single" w:sz="6" w:space="0" w:color="000000"/>
              <w:right w:val="single" w:sz="6" w:space="0" w:color="000000"/>
            </w:tcBorders>
            <w:shd w:fill="auto" w:val="clear"/>
          </w:tcPr>
          <w:p>
            <w:pPr>
              <w:pStyle w:val="Normal"/>
              <w:rPr>
                <w:lang w:val="pl-PL" w:eastAsia="pl-PL"/>
              </w:rPr>
            </w:pPr>
            <w:r>
              <w:fldChar w:fldCharType="begin">
                <w:ffData>
                  <w:name w:val="Tekst88"/>
                  <w:enabled/>
                  <w:calcOnExit w:val="0"/>
                  <w:textInput/>
                </w:ffData>
              </w:fldChar>
            </w:r>
            <w:r>
              <w:rPr/>
              <w:instrText> FORMTEXT </w:instrText>
            </w:r>
            <w:r>
              <w:rPr/>
              <w:fldChar w:fldCharType="separate"/>
            </w:r>
            <w:bookmarkStart w:id="30" w:name="Tekst88"/>
            <w:r>
              <w:rPr>
                <w:lang w:val="pl-PL" w:eastAsia="pl-PL"/>
              </w:rPr>
              <w:t>     </w:t>
            </w:r>
            <w:r>
              <w:rPr>
                <w:lang w:val="pl-PL" w:eastAsia="pl-PL"/>
              </w:rPr>
            </w:r>
            <w:r>
              <w:rPr/>
              <w:fldChar w:fldCharType="end"/>
            </w:r>
            <w:bookmarkEnd w:id="30"/>
          </w:p>
        </w:tc>
      </w:tr>
      <w:tr>
        <w:trPr/>
        <w:tc>
          <w:tcPr>
            <w:tcW w:w="774"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5"/>
                  <w:enabled/>
                  <w:calcOnExit w:val="0"/>
                  <w:textInput/>
                </w:ffData>
              </w:fldChar>
            </w:r>
            <w:r>
              <w:rPr/>
              <w:instrText> FORMTEXT </w:instrText>
            </w:r>
            <w:r>
              <w:rPr/>
              <w:fldChar w:fldCharType="separate"/>
            </w:r>
            <w:bookmarkStart w:id="31" w:name="Tekst75"/>
            <w:r>
              <w:rPr>
                <w:lang w:val="pl-PL" w:eastAsia="pl-PL"/>
              </w:rPr>
              <w:t>     </w:t>
            </w:r>
            <w:r>
              <w:rPr>
                <w:lang w:val="pl-PL" w:eastAsia="pl-PL"/>
              </w:rPr>
            </w:r>
            <w:r>
              <w:rPr/>
              <w:fldChar w:fldCharType="end"/>
            </w:r>
            <w:bookmarkEnd w:id="31"/>
          </w:p>
        </w:tc>
        <w:tc>
          <w:tcPr>
            <w:tcW w:w="1791"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8"/>
                  <w:enabled/>
                  <w:calcOnExit w:val="0"/>
                  <w:textInput/>
                </w:ffData>
              </w:fldChar>
            </w:r>
            <w:r>
              <w:rPr/>
              <w:instrText> FORMTEXT </w:instrText>
            </w:r>
            <w:r>
              <w:rPr/>
              <w:fldChar w:fldCharType="separate"/>
            </w:r>
            <w:bookmarkStart w:id="32" w:name="Tekst78"/>
            <w:r>
              <w:rPr>
                <w:lang w:val="pl-PL" w:eastAsia="pl-PL"/>
              </w:rPr>
              <w:t>     </w:t>
            </w:r>
            <w:r>
              <w:rPr>
                <w:lang w:val="pl-PL" w:eastAsia="pl-PL"/>
              </w:rPr>
            </w:r>
            <w:r>
              <w:rPr/>
              <w:fldChar w:fldCharType="end"/>
            </w:r>
            <w:bookmarkEnd w:id="32"/>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1"/>
                  <w:enabled/>
                  <w:calcOnExit w:val="0"/>
                  <w:textInput/>
                </w:ffData>
              </w:fldChar>
            </w:r>
            <w:r>
              <w:rPr/>
              <w:instrText> FORMTEXT </w:instrText>
            </w:r>
            <w:r>
              <w:rPr/>
              <w:fldChar w:fldCharType="separate"/>
            </w:r>
            <w:bookmarkStart w:id="33" w:name="Tekst81"/>
            <w:r>
              <w:rPr>
                <w:lang w:val="pl-PL" w:eastAsia="pl-PL"/>
              </w:rPr>
              <w:t>     </w:t>
            </w:r>
            <w:r>
              <w:rPr>
                <w:lang w:val="pl-PL" w:eastAsia="pl-PL"/>
              </w:rPr>
            </w:r>
            <w:r>
              <w:rPr/>
              <w:fldChar w:fldCharType="end"/>
            </w:r>
            <w:bookmarkEnd w:id="33"/>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5"/>
                  <w:enabled/>
                  <w:calcOnExit w:val="0"/>
                  <w:textInput/>
                </w:ffData>
              </w:fldChar>
            </w:r>
            <w:r>
              <w:rPr/>
              <w:instrText> FORMTEXT </w:instrText>
            </w:r>
            <w:r>
              <w:rPr/>
              <w:fldChar w:fldCharType="separate"/>
            </w:r>
            <w:bookmarkStart w:id="34" w:name="Tekst85"/>
            <w:r>
              <w:rPr>
                <w:lang w:val="pl-PL" w:eastAsia="pl-PL"/>
              </w:rPr>
              <w:t>     </w:t>
            </w:r>
            <w:r>
              <w:rPr>
                <w:lang w:val="pl-PL" w:eastAsia="pl-PL"/>
              </w:rPr>
            </w:r>
            <w:r>
              <w:rPr/>
              <w:fldChar w:fldCharType="end"/>
            </w:r>
            <w:bookmarkEnd w:id="34"/>
          </w:p>
        </w:tc>
        <w:tc>
          <w:tcPr>
            <w:tcW w:w="1971" w:type="dxa"/>
            <w:tcBorders>
              <w:top w:val="single" w:sz="6" w:space="0" w:color="000000"/>
              <w:left w:val="single" w:sz="6" w:space="0" w:color="000000"/>
              <w:bottom w:val="single" w:sz="6" w:space="0" w:color="000000"/>
              <w:right w:val="single" w:sz="6" w:space="0" w:color="000000"/>
            </w:tcBorders>
            <w:shd w:fill="auto" w:val="clear"/>
          </w:tcPr>
          <w:p>
            <w:pPr>
              <w:pStyle w:val="Normal"/>
              <w:rPr>
                <w:lang w:val="pl-PL" w:eastAsia="pl-PL"/>
              </w:rPr>
            </w:pPr>
            <w:r>
              <w:fldChar w:fldCharType="begin">
                <w:ffData>
                  <w:name w:val="Tekst89"/>
                  <w:enabled/>
                  <w:calcOnExit w:val="0"/>
                  <w:textInput/>
                </w:ffData>
              </w:fldChar>
            </w:r>
            <w:r>
              <w:rPr/>
              <w:instrText> FORMTEXT </w:instrText>
            </w:r>
            <w:r>
              <w:rPr/>
              <w:fldChar w:fldCharType="separate"/>
            </w:r>
            <w:bookmarkStart w:id="35" w:name="Tekst89"/>
            <w:r>
              <w:rPr>
                <w:lang w:val="pl-PL" w:eastAsia="pl-PL"/>
              </w:rPr>
              <w:t>     </w:t>
            </w:r>
            <w:r>
              <w:rPr>
                <w:lang w:val="pl-PL" w:eastAsia="pl-PL"/>
              </w:rPr>
            </w:r>
            <w:r>
              <w:rPr/>
              <w:fldChar w:fldCharType="end"/>
            </w:r>
            <w:bookmarkEnd w:id="35"/>
          </w:p>
        </w:tc>
      </w:tr>
      <w:tr>
        <w:trPr/>
        <w:tc>
          <w:tcPr>
            <w:tcW w:w="774"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6"/>
                  <w:enabled/>
                  <w:calcOnExit w:val="0"/>
                  <w:textInput/>
                </w:ffData>
              </w:fldChar>
            </w:r>
            <w:r>
              <w:rPr/>
              <w:instrText> FORMTEXT </w:instrText>
            </w:r>
            <w:r>
              <w:rPr/>
              <w:fldChar w:fldCharType="separate"/>
            </w:r>
            <w:bookmarkStart w:id="36" w:name="Tekst76"/>
            <w:r>
              <w:rPr>
                <w:lang w:val="pl-PL" w:eastAsia="pl-PL"/>
              </w:rPr>
              <w:t>     </w:t>
            </w:r>
            <w:r>
              <w:rPr>
                <w:lang w:val="pl-PL" w:eastAsia="pl-PL"/>
              </w:rPr>
            </w:r>
            <w:r>
              <w:rPr/>
              <w:fldChar w:fldCharType="end"/>
            </w:r>
            <w:bookmarkEnd w:id="36"/>
          </w:p>
        </w:tc>
        <w:tc>
          <w:tcPr>
            <w:tcW w:w="1791"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79"/>
                  <w:enabled/>
                  <w:calcOnExit w:val="0"/>
                  <w:textInput/>
                </w:ffData>
              </w:fldChar>
            </w:r>
            <w:r>
              <w:rPr/>
              <w:instrText> FORMTEXT </w:instrText>
            </w:r>
            <w:r>
              <w:rPr/>
              <w:fldChar w:fldCharType="separate"/>
            </w:r>
            <w:bookmarkStart w:id="37" w:name="Tekst79"/>
            <w:r>
              <w:rPr>
                <w:lang w:val="pl-PL" w:eastAsia="pl-PL"/>
              </w:rPr>
              <w:t>     </w:t>
            </w:r>
            <w:r>
              <w:rPr>
                <w:lang w:val="pl-PL" w:eastAsia="pl-PL"/>
              </w:rPr>
            </w:r>
            <w:r>
              <w:rPr/>
              <w:fldChar w:fldCharType="end"/>
            </w:r>
            <w:bookmarkEnd w:id="37"/>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2"/>
                  <w:enabled/>
                  <w:calcOnExit w:val="0"/>
                  <w:textInput/>
                </w:ffData>
              </w:fldChar>
            </w:r>
            <w:r>
              <w:rPr/>
              <w:instrText> FORMTEXT </w:instrText>
            </w:r>
            <w:r>
              <w:rPr/>
              <w:fldChar w:fldCharType="separate"/>
            </w:r>
            <w:bookmarkStart w:id="38" w:name="Tekst82"/>
            <w:r>
              <w:rPr>
                <w:lang w:val="pl-PL" w:eastAsia="pl-PL"/>
              </w:rPr>
              <w:t>     </w:t>
            </w:r>
            <w:r>
              <w:rPr>
                <w:lang w:val="pl-PL" w:eastAsia="pl-PL"/>
              </w:rPr>
            </w:r>
            <w:r>
              <w:rPr/>
              <w:fldChar w:fldCharType="end"/>
            </w:r>
            <w:bookmarkEnd w:id="38"/>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6"/>
                  <w:enabled/>
                  <w:calcOnExit w:val="0"/>
                  <w:textInput/>
                </w:ffData>
              </w:fldChar>
            </w:r>
            <w:r>
              <w:rPr/>
              <w:instrText> FORMTEXT </w:instrText>
            </w:r>
            <w:r>
              <w:rPr/>
              <w:fldChar w:fldCharType="separate"/>
            </w:r>
            <w:bookmarkStart w:id="39" w:name="Tekst86"/>
            <w:r>
              <w:rPr>
                <w:lang w:val="pl-PL" w:eastAsia="pl-PL"/>
              </w:rPr>
              <w:t>     </w:t>
            </w:r>
            <w:r>
              <w:rPr>
                <w:lang w:val="pl-PL" w:eastAsia="pl-PL"/>
              </w:rPr>
            </w:r>
            <w:r>
              <w:rPr/>
              <w:fldChar w:fldCharType="end"/>
            </w:r>
            <w:bookmarkEnd w:id="39"/>
          </w:p>
        </w:tc>
        <w:tc>
          <w:tcPr>
            <w:tcW w:w="1971" w:type="dxa"/>
            <w:tcBorders>
              <w:top w:val="single" w:sz="6" w:space="0" w:color="000000"/>
              <w:left w:val="single" w:sz="6" w:space="0" w:color="000000"/>
              <w:bottom w:val="single" w:sz="6" w:space="0" w:color="000000"/>
              <w:right w:val="single" w:sz="6" w:space="0" w:color="000000"/>
            </w:tcBorders>
            <w:shd w:fill="auto" w:val="clear"/>
          </w:tcPr>
          <w:p>
            <w:pPr>
              <w:pStyle w:val="Normal"/>
              <w:rPr>
                <w:lang w:val="pl-PL" w:eastAsia="pl-PL"/>
              </w:rPr>
            </w:pPr>
            <w:r>
              <w:fldChar w:fldCharType="begin">
                <w:ffData>
                  <w:name w:val="Tekst90"/>
                  <w:enabled/>
                  <w:calcOnExit w:val="0"/>
                  <w:textInput/>
                </w:ffData>
              </w:fldChar>
            </w:r>
            <w:r>
              <w:rPr/>
              <w:instrText> FORMTEXT </w:instrText>
            </w:r>
            <w:r>
              <w:rPr/>
              <w:fldChar w:fldCharType="separate"/>
            </w:r>
            <w:bookmarkStart w:id="40" w:name="Tekst90"/>
            <w:r>
              <w:rPr>
                <w:lang w:val="pl-PL" w:eastAsia="pl-PL"/>
              </w:rPr>
              <w:t>     </w:t>
            </w:r>
            <w:r>
              <w:rPr>
                <w:lang w:val="pl-PL" w:eastAsia="pl-PL"/>
              </w:rPr>
            </w:r>
            <w:r>
              <w:rPr/>
              <w:fldChar w:fldCharType="end"/>
            </w:r>
            <w:bookmarkEnd w:id="40"/>
          </w:p>
        </w:tc>
      </w:tr>
      <w:tr>
        <w:trPr/>
        <w:tc>
          <w:tcPr>
            <w:tcW w:w="774" w:type="dxa"/>
            <w:tcBorders>
              <w:top w:val="single" w:sz="6" w:space="0" w:color="000000"/>
              <w:left w:val="single" w:sz="6" w:space="0" w:color="000000"/>
              <w:bottom w:val="single" w:sz="6" w:space="0" w:color="000000"/>
            </w:tcBorders>
            <w:shd w:fill="auto" w:val="clear"/>
          </w:tcPr>
          <w:p>
            <w:pPr>
              <w:pStyle w:val="Normal"/>
              <w:jc w:val="center"/>
              <w:rPr/>
            </w:pPr>
            <w:r>
              <w:rPr/>
              <w:t>X</w:t>
            </w:r>
          </w:p>
        </w:tc>
        <w:tc>
          <w:tcPr>
            <w:tcW w:w="1791" w:type="dxa"/>
            <w:tcBorders>
              <w:top w:val="single" w:sz="6" w:space="0" w:color="000000"/>
              <w:left w:val="single" w:sz="6" w:space="0" w:color="000000"/>
              <w:bottom w:val="single" w:sz="6" w:space="0" w:color="000000"/>
            </w:tcBorders>
            <w:shd w:fill="auto" w:val="clear"/>
          </w:tcPr>
          <w:p>
            <w:pPr>
              <w:pStyle w:val="Normal"/>
              <w:jc w:val="center"/>
              <w:rPr/>
            </w:pPr>
            <w:r>
              <w:rPr/>
              <w:t>Ogółem</w:t>
            </w:r>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3"/>
                  <w:enabled/>
                  <w:calcOnExit w:val="0"/>
                  <w:textInput/>
                </w:ffData>
              </w:fldChar>
            </w:r>
            <w:r>
              <w:rPr/>
              <w:instrText> FORMTEXT </w:instrText>
            </w:r>
            <w:r>
              <w:rPr/>
              <w:fldChar w:fldCharType="separate"/>
            </w:r>
            <w:bookmarkStart w:id="41" w:name="Tekst83"/>
            <w:r>
              <w:rPr>
                <w:lang w:val="pl-PL" w:eastAsia="pl-PL"/>
              </w:rPr>
              <w:t>     </w:t>
            </w:r>
            <w:r>
              <w:rPr>
                <w:lang w:val="pl-PL" w:eastAsia="pl-PL"/>
              </w:rPr>
            </w:r>
            <w:r>
              <w:rPr/>
              <w:fldChar w:fldCharType="end"/>
            </w:r>
            <w:bookmarkEnd w:id="41"/>
          </w:p>
        </w:tc>
        <w:tc>
          <w:tcPr>
            <w:tcW w:w="2025" w:type="dxa"/>
            <w:tcBorders>
              <w:top w:val="single" w:sz="6" w:space="0" w:color="000000"/>
              <w:left w:val="single" w:sz="6" w:space="0" w:color="000000"/>
              <w:bottom w:val="single" w:sz="6" w:space="0" w:color="000000"/>
            </w:tcBorders>
            <w:shd w:fill="auto" w:val="clear"/>
          </w:tcPr>
          <w:p>
            <w:pPr>
              <w:pStyle w:val="Normal"/>
              <w:rPr>
                <w:lang w:val="pl-PL" w:eastAsia="pl-PL"/>
              </w:rPr>
            </w:pPr>
            <w:r>
              <w:fldChar w:fldCharType="begin">
                <w:ffData>
                  <w:name w:val="Tekst87"/>
                  <w:enabled/>
                  <w:calcOnExit w:val="0"/>
                  <w:textInput/>
                </w:ffData>
              </w:fldChar>
            </w:r>
            <w:r>
              <w:rPr/>
              <w:instrText> FORMTEXT </w:instrText>
            </w:r>
            <w:r>
              <w:rPr/>
              <w:fldChar w:fldCharType="separate"/>
            </w:r>
            <w:bookmarkStart w:id="42" w:name="Tekst87"/>
            <w:r>
              <w:rPr>
                <w:lang w:val="pl-PL" w:eastAsia="pl-PL"/>
              </w:rPr>
              <w:t>     </w:t>
            </w:r>
            <w:r>
              <w:rPr>
                <w:lang w:val="pl-PL" w:eastAsia="pl-PL"/>
              </w:rPr>
            </w:r>
            <w:r>
              <w:rPr/>
              <w:fldChar w:fldCharType="end"/>
            </w:r>
            <w:bookmarkEnd w:id="42"/>
          </w:p>
        </w:tc>
        <w:tc>
          <w:tcPr>
            <w:tcW w:w="1971" w:type="dxa"/>
            <w:tcBorders>
              <w:top w:val="single" w:sz="6" w:space="0" w:color="000000"/>
              <w:left w:val="single" w:sz="6" w:space="0" w:color="000000"/>
              <w:bottom w:val="single" w:sz="6" w:space="0" w:color="000000"/>
              <w:right w:val="single" w:sz="6" w:space="0" w:color="000000"/>
            </w:tcBorders>
            <w:shd w:fill="auto" w:val="clear"/>
          </w:tcPr>
          <w:p>
            <w:pPr>
              <w:pStyle w:val="Normal"/>
              <w:rPr>
                <w:lang w:val="pl-PL" w:eastAsia="pl-PL"/>
              </w:rPr>
            </w:pPr>
            <w:r>
              <w:fldChar w:fldCharType="begin">
                <w:ffData>
                  <w:name w:val="Tekst91"/>
                  <w:enabled/>
                  <w:calcOnExit w:val="0"/>
                  <w:textInput/>
                </w:ffData>
              </w:fldChar>
            </w:r>
            <w:r>
              <w:rPr/>
              <w:instrText> FORMTEXT </w:instrText>
            </w:r>
            <w:r>
              <w:rPr/>
              <w:fldChar w:fldCharType="separate"/>
            </w:r>
            <w:bookmarkStart w:id="43" w:name="Tekst91"/>
            <w:r>
              <w:rPr>
                <w:lang w:val="pl-PL" w:eastAsia="pl-PL"/>
              </w:rPr>
              <w:t>     </w:t>
            </w:r>
            <w:r>
              <w:rPr>
                <w:lang w:val="pl-PL" w:eastAsia="pl-PL"/>
              </w:rPr>
            </w:r>
            <w:r>
              <w:rPr/>
              <w:fldChar w:fldCharType="end"/>
            </w:r>
            <w:bookmarkEnd w:id="43"/>
          </w:p>
        </w:tc>
      </w:tr>
    </w:tbl>
    <w:p>
      <w:pPr>
        <w:pStyle w:val="Normal"/>
        <w:ind w:left="540" w:hanging="180"/>
        <w:rPr>
          <w:sz w:val="16"/>
        </w:rPr>
      </w:pPr>
      <w:r>
        <w:rPr>
          <w:sz w:val="16"/>
        </w:rPr>
        <w:t>* jeżeli finansowanie danej pozycji następuje z kilku źródeł należy wskazać kwoty finansowania z każdego źródła oddzielnie.</w:t>
      </w:r>
    </w:p>
    <w:p>
      <w:pPr>
        <w:pStyle w:val="Normal"/>
        <w:rPr>
          <w:b/>
          <w:b/>
          <w:sz w:val="16"/>
        </w:rPr>
      </w:pPr>
      <w:r>
        <w:rPr>
          <w:b/>
          <w:sz w:val="16"/>
        </w:rPr>
      </w:r>
    </w:p>
    <w:p>
      <w:pPr>
        <w:pStyle w:val="Normal"/>
        <w:rPr>
          <w:b/>
          <w:b/>
        </w:rPr>
      </w:pPr>
      <w:r>
        <w:rPr>
          <w:b/>
        </w:rPr>
        <w:t>VI. Terminy</w:t>
      </w:r>
    </w:p>
    <w:p>
      <w:pPr>
        <w:pStyle w:val="Normal"/>
        <w:ind w:left="708" w:hanging="0"/>
        <w:rPr>
          <w:b/>
          <w:b/>
        </w:rPr>
      </w:pPr>
      <w:r>
        <w:rPr>
          <w:b/>
        </w:rPr>
      </w:r>
    </w:p>
    <w:p>
      <w:pPr>
        <w:pStyle w:val="Normal"/>
        <w:ind w:left="708" w:hanging="0"/>
        <w:rPr/>
      </w:pPr>
      <w:r>
        <w:rPr/>
        <w:t xml:space="preserve">Wnioskowany termin przekazania dotacji: </w:t>
      </w:r>
      <w:r>
        <w:fldChar w:fldCharType="begin">
          <w:ffData>
            <w:name w:val="Tekst92"/>
            <w:enabled/>
            <w:calcOnExit w:val="0"/>
            <w:textInput/>
          </w:ffData>
        </w:fldChar>
      </w:r>
      <w:r>
        <w:rPr/>
        <w:instrText> FORMTEXT </w:instrText>
      </w:r>
      <w:r>
        <w:rPr/>
        <w:fldChar w:fldCharType="separate"/>
      </w:r>
      <w:bookmarkStart w:id="44" w:name="Tekst92"/>
      <w:r>
        <w:rPr>
          <w:lang w:val="pl-PL" w:eastAsia="pl-PL"/>
        </w:rPr>
        <w:t>     </w:t>
      </w:r>
      <w:r>
        <w:rPr>
          <w:lang w:val="pl-PL" w:eastAsia="pl-PL"/>
        </w:rPr>
      </w:r>
      <w:r>
        <w:rPr/>
        <w:fldChar w:fldCharType="end"/>
      </w:r>
      <w:bookmarkEnd w:id="44"/>
    </w:p>
    <w:p>
      <w:pPr>
        <w:pStyle w:val="Normal"/>
        <w:ind w:left="708" w:hanging="0"/>
        <w:rPr/>
      </w:pPr>
      <w:r>
        <w:rPr/>
        <w:t xml:space="preserve">Termin rozpoczęcia prac: </w:t>
      </w:r>
      <w:r>
        <w:fldChar w:fldCharType="begin">
          <w:ffData>
            <w:name w:val="Tekst93"/>
            <w:enabled/>
            <w:calcOnExit w:val="0"/>
            <w:textInput/>
          </w:ffData>
        </w:fldChar>
      </w:r>
      <w:r>
        <w:rPr/>
        <w:instrText> FORMTEXT </w:instrText>
      </w:r>
      <w:r>
        <w:rPr/>
        <w:fldChar w:fldCharType="separate"/>
      </w:r>
      <w:bookmarkStart w:id="45" w:name="Tekst93"/>
      <w:r>
        <w:rPr>
          <w:lang w:val="pl-PL" w:eastAsia="pl-PL"/>
        </w:rPr>
        <w:t>     </w:t>
      </w:r>
      <w:r>
        <w:rPr>
          <w:lang w:val="pl-PL" w:eastAsia="pl-PL"/>
        </w:rPr>
      </w:r>
      <w:r>
        <w:rPr/>
        <w:fldChar w:fldCharType="end"/>
      </w:r>
      <w:bookmarkEnd w:id="45"/>
    </w:p>
    <w:p>
      <w:pPr>
        <w:pStyle w:val="Normal"/>
        <w:ind w:left="708" w:hanging="0"/>
        <w:rPr/>
      </w:pPr>
      <w:r>
        <w:rPr/>
        <w:t xml:space="preserve">Termin zakończenia prac: </w:t>
      </w:r>
      <w:r>
        <w:fldChar w:fldCharType="begin">
          <w:ffData>
            <w:name w:val="Tekst94"/>
            <w:enabled/>
            <w:calcOnExit w:val="0"/>
            <w:textInput/>
          </w:ffData>
        </w:fldChar>
      </w:r>
      <w:r>
        <w:rPr/>
        <w:instrText> FORMTEXT </w:instrText>
      </w:r>
      <w:r>
        <w:rPr/>
        <w:fldChar w:fldCharType="separate"/>
      </w:r>
      <w:bookmarkStart w:id="46" w:name="Tekst94"/>
      <w:r>
        <w:rPr>
          <w:lang w:val="pl-PL" w:eastAsia="pl-PL"/>
        </w:rPr>
        <w:t>     </w:t>
      </w:r>
      <w:r>
        <w:rPr>
          <w:lang w:val="pl-PL" w:eastAsia="pl-PL"/>
        </w:rPr>
      </w:r>
      <w:r>
        <w:rPr/>
        <w:fldChar w:fldCharType="end"/>
      </w:r>
      <w:bookmarkEnd w:id="46"/>
    </w:p>
    <w:p>
      <w:pPr>
        <w:pStyle w:val="Normal"/>
        <w:rPr/>
      </w:pPr>
      <w:r>
        <w:rPr/>
      </w:r>
    </w:p>
    <w:p>
      <w:pPr>
        <w:pStyle w:val="Normal"/>
        <w:rPr>
          <w:b/>
          <w:b/>
        </w:rPr>
      </w:pPr>
      <w:r>
        <w:rPr>
          <w:b/>
        </w:rPr>
        <w:t>VII. Informacja o środkach publicznych przyznanych z innych źródeł na te same prace lub roboty budowlane przy zabytku oraz informacja o wystąpieniu o takie środki złożonym do innych podmiotów:</w:t>
      </w:r>
    </w:p>
    <w:p>
      <w:pPr>
        <w:pStyle w:val="Normal"/>
        <w:rPr/>
      </w:pPr>
      <w:r>
        <w:rPr/>
        <w:t xml:space="preserve">           </w:t>
      </w:r>
      <w:r>
        <w:fldChar w:fldCharType="begin">
          <w:ffData>
            <w:name w:val="Tekst95"/>
            <w:enabled/>
            <w:calcOnExit w:val="0"/>
            <w:textInput/>
          </w:ffData>
        </w:fldChar>
      </w:r>
      <w:r>
        <w:rPr/>
        <w:instrText> FORMTEXT </w:instrText>
      </w:r>
      <w:r>
        <w:rPr/>
        <w:fldChar w:fldCharType="separate"/>
      </w:r>
      <w:bookmarkStart w:id="47" w:name="Tekst95"/>
      <w:r>
        <w:rPr>
          <w:lang w:val="pl-PL" w:eastAsia="pl-PL"/>
        </w:rPr>
        <w:t>     </w:t>
      </w:r>
      <w:r>
        <w:rPr>
          <w:lang w:val="pl-PL" w:eastAsia="pl-PL"/>
        </w:rPr>
      </w:r>
      <w:r>
        <w:rPr/>
        <w:fldChar w:fldCharType="end"/>
      </w:r>
      <w:bookmarkEnd w:id="47"/>
    </w:p>
    <w:p>
      <w:pPr>
        <w:pStyle w:val="Normal"/>
        <w:rPr>
          <w:b/>
          <w:b/>
        </w:rPr>
      </w:pPr>
      <w:r>
        <w:rPr>
          <w:b/>
        </w:rPr>
      </w:r>
    </w:p>
    <w:p>
      <w:pPr>
        <w:pStyle w:val="Normal"/>
        <w:rPr>
          <w:b/>
          <w:b/>
        </w:rPr>
      </w:pPr>
      <w:r>
        <w:rPr>
          <w:b/>
        </w:rPr>
        <w:t>VIII. Wykaz prac lub robót budowlanych wykonanych przy danym zabytku w okresie 3 lat poprzedzających dzień złożenia wniosku z podaniem łącznej wysokości nakładów, w tym wysokości i źródła otrzymanego dofinansowania ze środków publicznych:</w:t>
      </w:r>
    </w:p>
    <w:p>
      <w:pPr>
        <w:pStyle w:val="Normal"/>
        <w:rPr/>
      </w:pPr>
      <w:r>
        <w:rPr/>
        <w:t xml:space="preserve">           </w:t>
      </w:r>
      <w:r>
        <w:fldChar w:fldCharType="begin">
          <w:ffData>
            <w:name w:val="Tekst96"/>
            <w:enabled/>
            <w:calcOnExit w:val="0"/>
            <w:textInput/>
          </w:ffData>
        </w:fldChar>
      </w:r>
      <w:r>
        <w:rPr/>
        <w:instrText> FORMTEXT </w:instrText>
      </w:r>
      <w:r>
        <w:rPr/>
        <w:fldChar w:fldCharType="separate"/>
      </w:r>
      <w:bookmarkStart w:id="48" w:name="Tekst96"/>
      <w:r>
        <w:rPr>
          <w:lang w:val="pl-PL" w:eastAsia="pl-PL"/>
        </w:rPr>
        <w:t>     </w:t>
      </w:r>
      <w:r>
        <w:rPr>
          <w:lang w:val="pl-PL" w:eastAsia="pl-PL"/>
        </w:rPr>
      </w:r>
      <w:r>
        <w:rPr/>
        <w:fldChar w:fldCharType="end"/>
      </w:r>
      <w:bookmarkEnd w:id="48"/>
    </w:p>
    <w:p>
      <w:pPr>
        <w:pStyle w:val="Normal"/>
        <w:rPr/>
      </w:pPr>
      <w:r>
        <w:rPr/>
      </w:r>
    </w:p>
    <w:p>
      <w:pPr>
        <w:pStyle w:val="Normal"/>
        <w:rPr>
          <w:b/>
          <w:b/>
        </w:rPr>
      </w:pPr>
      <w:r>
        <w:rPr>
          <w:b/>
        </w:rPr>
        <w:t>IX. Dodatkowe informacje mogące mieć znaczenie przy ocenie wniosku:</w:t>
      </w:r>
    </w:p>
    <w:p>
      <w:pPr>
        <w:pStyle w:val="Normal"/>
        <w:rPr/>
      </w:pPr>
      <w:r>
        <w:rPr/>
        <w:t xml:space="preserve">           </w:t>
      </w:r>
      <w:r>
        <w:fldChar w:fldCharType="begin">
          <w:ffData>
            <w:name w:val="Tekst97"/>
            <w:enabled/>
            <w:calcOnExit w:val="0"/>
            <w:textInput/>
          </w:ffData>
        </w:fldChar>
      </w:r>
      <w:r>
        <w:rPr/>
        <w:instrText> FORMTEXT </w:instrText>
      </w:r>
      <w:r>
        <w:rPr/>
        <w:fldChar w:fldCharType="separate"/>
      </w:r>
      <w:bookmarkStart w:id="49" w:name="Tekst97"/>
      <w:r>
        <w:rPr>
          <w:lang w:val="pl-PL" w:eastAsia="pl-PL"/>
        </w:rPr>
        <w:t>     </w:t>
      </w:r>
      <w:r>
        <w:rPr>
          <w:lang w:val="pl-PL" w:eastAsia="pl-PL"/>
        </w:rPr>
      </w:r>
      <w:r>
        <w:rPr/>
        <w:fldChar w:fldCharType="end"/>
      </w:r>
      <w:bookmarkEnd w:id="49"/>
    </w:p>
    <w:p>
      <w:pPr>
        <w:pStyle w:val="Normal"/>
        <w:rPr/>
      </w:pPr>
      <w:r>
        <w:rPr/>
      </w:r>
    </w:p>
    <w:p>
      <w:pPr>
        <w:pStyle w:val="Normal"/>
        <w:rPr>
          <w:b/>
          <w:b/>
        </w:rPr>
      </w:pPr>
      <w:r>
        <w:rPr>
          <w:b/>
        </w:rPr>
        <w:t>X. Wykaz załączników wymaganych przy składaniu wniosku:</w:t>
      </w:r>
    </w:p>
    <w:p>
      <w:pPr>
        <w:pStyle w:val="Normal"/>
        <w:rPr>
          <w:b/>
          <w:b/>
        </w:rPr>
      </w:pPr>
      <w:r>
        <w:rPr>
          <w:b/>
        </w:rPr>
      </w:r>
    </w:p>
    <w:p>
      <w:pPr>
        <w:pStyle w:val="Normal"/>
        <w:numPr>
          <w:ilvl w:val="0"/>
          <w:numId w:val="19"/>
        </w:numPr>
        <w:rPr/>
      </w:pPr>
      <w:r>
        <w:rPr/>
        <w:t>Decyzja o wpisie do rejestru zabytków obiektu, którego dotyczą prace lub roboty,</w:t>
      </w:r>
    </w:p>
    <w:p>
      <w:pPr>
        <w:pStyle w:val="Normal"/>
        <w:numPr>
          <w:ilvl w:val="0"/>
          <w:numId w:val="19"/>
        </w:numPr>
        <w:rPr/>
      </w:pPr>
      <w:r>
        <w:rPr/>
        <w:t>Dokument potwierdzający tytuł władania zabytkiem (wypis z rejestru gruntów lub aktualny odpis z księgi wieczystej).</w:t>
      </w:r>
    </w:p>
    <w:p>
      <w:pPr>
        <w:pStyle w:val="Normal"/>
        <w:numPr>
          <w:ilvl w:val="0"/>
          <w:numId w:val="19"/>
        </w:numPr>
        <w:rPr/>
      </w:pPr>
      <w:r>
        <w:rPr/>
        <w:t>Dokumentacja fotograficzna obiektu,</w:t>
      </w:r>
    </w:p>
    <w:p>
      <w:pPr>
        <w:pStyle w:val="Normal"/>
        <w:numPr>
          <w:ilvl w:val="0"/>
          <w:numId w:val="19"/>
        </w:numPr>
        <w:rPr/>
      </w:pPr>
      <w:r>
        <w:rPr/>
        <w:t xml:space="preserve">Decyzja właściwego organu ochrony zabytków zezwalająca na przeprowadzenie prac lub robót </w:t>
      </w:r>
    </w:p>
    <w:p>
      <w:pPr>
        <w:pStyle w:val="Normal"/>
        <w:numPr>
          <w:ilvl w:val="0"/>
          <w:numId w:val="19"/>
        </w:numPr>
        <w:rPr/>
      </w:pPr>
      <w:r>
        <w:rPr/>
        <w:t xml:space="preserve">Projekt i pozwolenie na budowę (zabytki nieruchome), </w:t>
      </w:r>
    </w:p>
    <w:p>
      <w:pPr>
        <w:pStyle w:val="Normal"/>
        <w:numPr>
          <w:ilvl w:val="0"/>
          <w:numId w:val="19"/>
        </w:numPr>
        <w:rPr/>
      </w:pPr>
      <w:r>
        <w:rPr/>
        <w:t>Program prac (zabytki ruchome).</w:t>
      </w:r>
    </w:p>
    <w:p>
      <w:pPr>
        <w:pStyle w:val="Normal"/>
        <w:rPr/>
      </w:pPr>
      <w:r>
        <w:rPr/>
      </w:r>
    </w:p>
    <w:p>
      <w:pPr>
        <w:pStyle w:val="Normal"/>
        <w:rPr/>
      </w:pPr>
      <w:r>
        <w:rPr/>
      </w:r>
    </w:p>
    <w:p>
      <w:pPr>
        <w:pStyle w:val="Normal"/>
        <w:rPr/>
      </w:pPr>
      <w:r>
        <w:rPr/>
      </w:r>
    </w:p>
    <w:tbl>
      <w:tblPr>
        <w:tblW w:w="9212" w:type="dxa"/>
        <w:jc w:val="left"/>
        <w:tblInd w:w="-108" w:type="dxa"/>
        <w:tblCellMar>
          <w:top w:w="0" w:type="dxa"/>
          <w:left w:w="70" w:type="dxa"/>
          <w:bottom w:w="0" w:type="dxa"/>
          <w:right w:w="70" w:type="dxa"/>
        </w:tblCellMar>
      </w:tblPr>
      <w:tblGrid>
        <w:gridCol w:w="4606"/>
        <w:gridCol w:w="4606"/>
      </w:tblGrid>
      <w:tr>
        <w:trPr/>
        <w:tc>
          <w:tcPr>
            <w:tcW w:w="4606" w:type="dxa"/>
            <w:tcBorders/>
            <w:shd w:fill="auto" w:val="clear"/>
          </w:tcPr>
          <w:p>
            <w:pPr>
              <w:pStyle w:val="Normal"/>
              <w:jc w:val="center"/>
              <w:rPr/>
            </w:pPr>
            <w:r>
              <w:rPr/>
              <w:t>*(pieczęć wnioskodawcy)</w:t>
            </w:r>
          </w:p>
        </w:tc>
        <w:tc>
          <w:tcPr>
            <w:tcW w:w="4606" w:type="dxa"/>
            <w:tcBorders/>
            <w:shd w:fill="auto" w:val="clear"/>
          </w:tcPr>
          <w:p>
            <w:pPr>
              <w:pStyle w:val="Normal"/>
              <w:jc w:val="center"/>
              <w:rPr/>
            </w:pPr>
            <w:r>
              <w:rPr/>
              <w:t xml:space="preserve">podpis osoby upoważnionej </w:t>
            </w:r>
          </w:p>
          <w:p>
            <w:pPr>
              <w:pStyle w:val="Normal"/>
              <w:jc w:val="center"/>
              <w:rPr/>
            </w:pPr>
            <w:r>
              <w:rPr/>
              <w:t>do składania oświadczeń woli w imieniu wnioskodawcy</w:t>
            </w:r>
          </w:p>
        </w:tc>
      </w:tr>
    </w:tbl>
    <w:p>
      <w:pPr>
        <w:pStyle w:val="Normal"/>
        <w:rPr/>
      </w:pPr>
      <w:r>
        <w:rPr/>
        <w:t>* - wypełniać w przypadku osób prawnych i jednostek organizacyjnych mniemających osobowości prawnej</w:t>
      </w:r>
      <w:r>
        <w:br w:type="page"/>
      </w:r>
    </w:p>
    <w:p>
      <w:pPr>
        <w:pStyle w:val="Normal"/>
        <w:jc w:val="center"/>
        <w:rPr/>
      </w:pPr>
      <w:r>
        <w:rPr>
          <w:color w:val="000000"/>
        </w:rPr>
        <w:t xml:space="preserve">                                                                                        </w:t>
      </w:r>
      <w:r>
        <w:rPr>
          <w:i/>
          <w:color w:val="000000"/>
        </w:rPr>
        <w:t>Załącznik Nr 2 do Uchwały</w:t>
      </w:r>
    </w:p>
    <w:p>
      <w:pPr>
        <w:pStyle w:val="Normal"/>
        <w:jc w:val="center"/>
        <w:rPr/>
      </w:pPr>
      <w:r>
        <w:rPr>
          <w:i/>
          <w:color w:val="000000"/>
        </w:rPr>
        <w:t xml:space="preserve">                                                                                         </w:t>
      </w:r>
      <w:r>
        <w:rPr>
          <w:i/>
          <w:color w:val="000000"/>
        </w:rPr>
        <w:t xml:space="preserve">Rady Gminy Kamieniec Ząbkowicki </w:t>
      </w:r>
    </w:p>
    <w:p>
      <w:pPr>
        <w:pStyle w:val="Normal"/>
        <w:rPr/>
      </w:pPr>
      <w:r>
        <w:rPr>
          <w:i/>
          <w:color w:val="000000"/>
        </w:rPr>
        <w:t xml:space="preserve">                                                                                                 </w:t>
      </w:r>
      <w:r>
        <w:rPr>
          <w:i/>
          <w:color w:val="000000"/>
        </w:rPr>
        <w:t xml:space="preserve">nr …………... z dnia ……….. </w:t>
      </w:r>
    </w:p>
    <w:p>
      <w:pPr>
        <w:pStyle w:val="Normal"/>
        <w:jc w:val="center"/>
        <w:rPr>
          <w:b/>
          <w:b/>
          <w:i/>
          <w:i/>
          <w:color w:val="000000"/>
          <w:sz w:val="28"/>
        </w:rPr>
      </w:pPr>
      <w:r>
        <w:rPr>
          <w:b/>
          <w:i/>
          <w:color w:val="000000"/>
          <w:sz w:val="28"/>
        </w:rPr>
      </w:r>
    </w:p>
    <w:p>
      <w:pPr>
        <w:pStyle w:val="Normal"/>
        <w:jc w:val="center"/>
        <w:rPr>
          <w:b/>
          <w:b/>
          <w:sz w:val="28"/>
        </w:rPr>
      </w:pPr>
      <w:r>
        <w:rPr>
          <w:b/>
          <w:sz w:val="28"/>
        </w:rPr>
      </w:r>
    </w:p>
    <w:p>
      <w:pPr>
        <w:pStyle w:val="Normal"/>
        <w:jc w:val="center"/>
        <w:rPr>
          <w:b/>
          <w:b/>
          <w:smallCaps/>
        </w:rPr>
      </w:pPr>
      <w:r>
        <w:rPr>
          <w:b/>
          <w:smallCaps/>
        </w:rPr>
        <w:t>Sprawozdanie</w:t>
      </w:r>
    </w:p>
    <w:p>
      <w:pPr>
        <w:pStyle w:val="Normal"/>
        <w:jc w:val="center"/>
        <w:rPr/>
      </w:pPr>
      <w:r>
        <w:rPr>
          <w:b/>
          <w:smallCaps/>
        </w:rPr>
        <w:t xml:space="preserve"> </w:t>
      </w:r>
      <w:r>
        <w:rPr>
          <w:b/>
          <w:smallCaps/>
        </w:rPr>
        <w:t xml:space="preserve">z wykorzystania dotacji udzielonej ze środków gminy KAMIENIEC ZĄBKOWICKI na prace konserwatorskie restauratorsie lub roboty budowlane przy zabytku wpisanym do rejestru zabytków LUB ZNAJDUJĄCYM SIĘ W GMINNEJ EWIDENCJI ZABYTKÓW </w:t>
      </w:r>
    </w:p>
    <w:p>
      <w:pPr>
        <w:pStyle w:val="Normal"/>
        <w:jc w:val="center"/>
        <w:rPr>
          <w:smallCaps/>
        </w:rPr>
      </w:pPr>
      <w:r>
        <w:rPr>
          <w:smallCaps/>
        </w:rPr>
      </w:r>
    </w:p>
    <w:p>
      <w:pPr>
        <w:pStyle w:val="Normal"/>
        <w:jc w:val="center"/>
        <w:rPr>
          <w:smallCaps/>
        </w:rPr>
      </w:pPr>
      <w:r>
        <w:rPr>
          <w:smallCaps/>
        </w:rPr>
      </w:r>
    </w:p>
    <w:p>
      <w:pPr>
        <w:pStyle w:val="Normal"/>
        <w:jc w:val="center"/>
        <w:rPr/>
      </w:pPr>
      <w:r>
        <w:rPr/>
      </w:r>
    </w:p>
    <w:p>
      <w:pPr>
        <w:pStyle w:val="Normal"/>
        <w:jc w:val="both"/>
        <w:rPr>
          <w:b/>
          <w:b/>
        </w:rPr>
      </w:pPr>
      <w:r>
        <w:rPr>
          <w:b/>
        </w:rPr>
      </w:r>
    </w:p>
    <w:p>
      <w:pPr>
        <w:pStyle w:val="Normal"/>
        <w:jc w:val="both"/>
        <w:rPr/>
      </w:pPr>
      <w:r>
        <w:rPr>
          <w:b/>
        </w:rPr>
        <w:t xml:space="preserve">Dotyczy umowy z dnia </w:t>
      </w:r>
      <w:r>
        <w:fldChar w:fldCharType="begin">
          <w:ffData>
            <w:name w:val="Tekst102"/>
            <w:enabled/>
            <w:calcOnExit w:val="0"/>
            <w:textInput/>
          </w:ffData>
        </w:fldChar>
      </w:r>
      <w:r>
        <w:rPr>
          <w:b/>
        </w:rPr>
        <w:instrText> FORMTEXT </w:instrText>
      </w:r>
      <w:r>
        <w:rPr>
          <w:b/>
        </w:rPr>
        <w:fldChar w:fldCharType="separate"/>
      </w:r>
      <w:bookmarkStart w:id="50" w:name="Tekst102"/>
      <w:r>
        <w:rPr>
          <w:b/>
          <w:lang w:val="pl-PL" w:eastAsia="pl-PL"/>
        </w:rPr>
        <w:t>     </w:t>
      </w:r>
      <w:r>
        <w:rPr>
          <w:b/>
          <w:lang w:val="pl-PL" w:eastAsia="pl-PL"/>
        </w:rPr>
      </w:r>
      <w:r>
        <w:rPr>
          <w:b/>
        </w:rPr>
        <w:fldChar w:fldCharType="end"/>
      </w:r>
      <w:bookmarkEnd w:id="50"/>
      <w:r>
        <w:rPr>
          <w:b/>
        </w:rPr>
        <w:t xml:space="preserve"> nr </w:t>
      </w:r>
      <w:r>
        <w:fldChar w:fldCharType="begin">
          <w:ffData>
            <w:name w:val="Tekst103"/>
            <w:enabled/>
            <w:calcOnExit w:val="0"/>
            <w:textInput/>
          </w:ffData>
        </w:fldChar>
      </w:r>
      <w:r>
        <w:rPr>
          <w:b/>
        </w:rPr>
        <w:instrText> FORMTEXT </w:instrText>
      </w:r>
      <w:r>
        <w:rPr>
          <w:b/>
        </w:rPr>
        <w:fldChar w:fldCharType="separate"/>
      </w:r>
      <w:bookmarkStart w:id="51" w:name="Tekst103"/>
      <w:r>
        <w:rPr>
          <w:b/>
          <w:lang w:val="pl-PL" w:eastAsia="pl-PL"/>
        </w:rPr>
        <w:t>     </w:t>
      </w:r>
      <w:r>
        <w:rPr>
          <w:b/>
          <w:lang w:val="pl-PL" w:eastAsia="pl-PL"/>
        </w:rPr>
      </w:r>
      <w:r>
        <w:rPr>
          <w:b/>
        </w:rPr>
        <w:fldChar w:fldCharType="end"/>
      </w:r>
      <w:bookmarkEnd w:id="51"/>
      <w:r>
        <w:rPr>
          <w:b/>
        </w:rPr>
        <w:t xml:space="preserve"> .</w:t>
      </w:r>
    </w:p>
    <w:p>
      <w:pPr>
        <w:pStyle w:val="Normal"/>
        <w:jc w:val="center"/>
        <w:rPr>
          <w:b/>
          <w:b/>
        </w:rPr>
      </w:pPr>
      <w:r>
        <w:rPr>
          <w:b/>
        </w:rPr>
      </w:r>
    </w:p>
    <w:p>
      <w:pPr>
        <w:pStyle w:val="Normal"/>
        <w:rPr>
          <w:b/>
          <w:b/>
        </w:rPr>
      </w:pPr>
      <w:r>
        <w:rPr>
          <w:b/>
        </w:rPr>
        <w:t>I.  Dane podmiotu rozliczającego dotację</w:t>
      </w:r>
    </w:p>
    <w:p>
      <w:pPr>
        <w:pStyle w:val="Normal"/>
        <w:rPr>
          <w:b/>
          <w:b/>
        </w:rPr>
      </w:pPr>
      <w:r>
        <w:rPr>
          <w:b/>
        </w:rPr>
      </w:r>
    </w:p>
    <w:p>
      <w:pPr>
        <w:pStyle w:val="Normal"/>
        <w:rPr/>
      </w:pPr>
      <w:r>
        <w:rPr/>
        <w:t xml:space="preserve">     </w:t>
      </w:r>
      <w:r>
        <w:rPr/>
        <w:t xml:space="preserve">1)   pełna nazwa podmiotu : </w:t>
      </w:r>
      <w:r>
        <w:fldChar w:fldCharType="begin">
          <w:ffData>
            <w:name w:val="Tekst104"/>
            <w:enabled/>
            <w:calcOnExit w:val="0"/>
            <w:textInput/>
          </w:ffData>
        </w:fldChar>
      </w:r>
      <w:r>
        <w:rPr/>
        <w:instrText> FORMTEXT </w:instrText>
      </w:r>
      <w:r>
        <w:rPr/>
        <w:fldChar w:fldCharType="separate"/>
      </w:r>
      <w:bookmarkStart w:id="52" w:name="Tekst104"/>
      <w:r>
        <w:rPr>
          <w:lang w:val="pl-PL" w:eastAsia="pl-PL"/>
        </w:rPr>
        <w:t>     </w:t>
      </w:r>
      <w:r>
        <w:rPr>
          <w:lang w:val="pl-PL" w:eastAsia="pl-PL"/>
        </w:rPr>
      </w:r>
      <w:r>
        <w:rPr/>
        <w:fldChar w:fldCharType="end"/>
      </w:r>
      <w:bookmarkEnd w:id="52"/>
    </w:p>
    <w:p>
      <w:pPr>
        <w:pStyle w:val="Normal"/>
        <w:rPr/>
      </w:pPr>
      <w:r>
        <w:rPr/>
        <w:t xml:space="preserve">     </w:t>
      </w:r>
      <w:r>
        <w:rPr/>
        <w:t xml:space="preserve">2)   forma prawna : </w:t>
      </w:r>
      <w:r>
        <w:fldChar w:fldCharType="begin">
          <w:ffData>
            <w:name w:val="Tekst105"/>
            <w:enabled/>
            <w:calcOnExit w:val="0"/>
            <w:textInput/>
          </w:ffData>
        </w:fldChar>
      </w:r>
      <w:r>
        <w:rPr/>
        <w:instrText> FORMTEXT </w:instrText>
      </w:r>
      <w:r>
        <w:rPr/>
        <w:fldChar w:fldCharType="separate"/>
      </w:r>
      <w:bookmarkStart w:id="53" w:name="Tekst105"/>
      <w:r>
        <w:rPr>
          <w:lang w:val="pl-PL" w:eastAsia="pl-PL"/>
        </w:rPr>
        <w:t>     </w:t>
      </w:r>
      <w:r>
        <w:rPr>
          <w:lang w:val="pl-PL" w:eastAsia="pl-PL"/>
        </w:rPr>
      </w:r>
      <w:r>
        <w:rPr/>
        <w:fldChar w:fldCharType="end"/>
      </w:r>
      <w:bookmarkEnd w:id="53"/>
    </w:p>
    <w:p>
      <w:pPr>
        <w:pStyle w:val="Normal"/>
        <w:rPr/>
      </w:pPr>
      <w:r>
        <w:rPr/>
        <w:t xml:space="preserve">   </w:t>
      </w:r>
      <w:r>
        <w:rPr/>
        <w:t xml:space="preserve">*3)   data rejestracji/nr właściwego rejestru </w:t>
      </w:r>
      <w:r>
        <w:fldChar w:fldCharType="begin">
          <w:ffData>
            <w:name w:val="Tekst106"/>
            <w:enabled/>
            <w:calcOnExit w:val="0"/>
            <w:textInput/>
          </w:ffData>
        </w:fldChar>
      </w:r>
      <w:r>
        <w:rPr/>
        <w:instrText> FORMTEXT </w:instrText>
      </w:r>
      <w:r>
        <w:rPr/>
        <w:fldChar w:fldCharType="separate"/>
      </w:r>
      <w:bookmarkStart w:id="54" w:name="Tekst106"/>
      <w:r>
        <w:rPr>
          <w:lang w:val="pl-PL" w:eastAsia="pl-PL"/>
        </w:rPr>
        <w:t>     </w:t>
      </w:r>
      <w:r>
        <w:rPr>
          <w:lang w:val="pl-PL" w:eastAsia="pl-PL"/>
        </w:rPr>
      </w:r>
      <w:r>
        <w:rPr/>
        <w:fldChar w:fldCharType="end"/>
      </w:r>
      <w:bookmarkEnd w:id="54"/>
    </w:p>
    <w:p>
      <w:pPr>
        <w:pStyle w:val="Normal"/>
        <w:rPr/>
      </w:pPr>
      <w:r>
        <w:rPr/>
        <w:t xml:space="preserve">     </w:t>
      </w:r>
      <w:r>
        <w:rPr/>
        <w:t xml:space="preserve">5)   dokładny adres : </w:t>
      </w:r>
      <w:r>
        <w:fldChar w:fldCharType="begin">
          <w:ffData>
            <w:name w:val="Tekst107"/>
            <w:enabled/>
            <w:calcOnExit w:val="0"/>
            <w:textInput/>
          </w:ffData>
        </w:fldChar>
      </w:r>
      <w:r>
        <w:rPr/>
        <w:instrText> FORMTEXT </w:instrText>
      </w:r>
      <w:r>
        <w:rPr/>
        <w:fldChar w:fldCharType="separate"/>
      </w:r>
      <w:bookmarkStart w:id="55" w:name="Tekst107"/>
      <w:r>
        <w:rPr>
          <w:lang w:val="pl-PL" w:eastAsia="pl-PL"/>
        </w:rPr>
        <w:t>     </w:t>
      </w:r>
      <w:r>
        <w:rPr>
          <w:lang w:val="pl-PL" w:eastAsia="pl-PL"/>
        </w:rPr>
      </w:r>
      <w:r>
        <w:rPr/>
        <w:fldChar w:fldCharType="end"/>
      </w:r>
      <w:bookmarkEnd w:id="55"/>
      <w:r>
        <w:rPr/>
        <w:t xml:space="preserve"> ul. </w:t>
      </w:r>
      <w:r>
        <w:fldChar w:fldCharType="begin">
          <w:ffData>
            <w:name w:val="Tekst108"/>
            <w:enabled/>
            <w:calcOnExit w:val="0"/>
            <w:textInput/>
          </w:ffData>
        </w:fldChar>
      </w:r>
      <w:r>
        <w:rPr/>
        <w:instrText> FORMTEXT </w:instrText>
      </w:r>
      <w:r>
        <w:rPr/>
        <w:fldChar w:fldCharType="separate"/>
      </w:r>
      <w:bookmarkStart w:id="56" w:name="Tekst108"/>
      <w:r>
        <w:rPr>
          <w:lang w:val="pl-PL" w:eastAsia="pl-PL"/>
        </w:rPr>
        <w:t>     </w:t>
      </w:r>
      <w:r>
        <w:rPr>
          <w:lang w:val="pl-PL" w:eastAsia="pl-PL"/>
        </w:rPr>
      </w:r>
      <w:r>
        <w:rPr/>
        <w:fldChar w:fldCharType="end"/>
      </w:r>
      <w:bookmarkEnd w:id="56"/>
    </w:p>
    <w:p>
      <w:pPr>
        <w:pStyle w:val="Normal"/>
        <w:rPr/>
      </w:pPr>
      <w:r>
        <w:rPr/>
        <w:t xml:space="preserve">           </w:t>
      </w:r>
      <w:r>
        <w:rPr/>
        <w:t xml:space="preserve">gmina </w:t>
      </w:r>
      <w:r>
        <w:fldChar w:fldCharType="begin">
          <w:ffData>
            <w:name w:val="Tekst109"/>
            <w:enabled/>
            <w:calcOnExit w:val="0"/>
            <w:textInput/>
          </w:ffData>
        </w:fldChar>
      </w:r>
      <w:r>
        <w:rPr/>
        <w:instrText> FORMTEXT </w:instrText>
      </w:r>
      <w:r>
        <w:rPr/>
        <w:fldChar w:fldCharType="separate"/>
      </w:r>
      <w:bookmarkStart w:id="57" w:name="Tekst109"/>
      <w:r>
        <w:rPr>
          <w:lang w:val="pl-PL" w:eastAsia="pl-PL"/>
        </w:rPr>
        <w:t>     </w:t>
      </w:r>
      <w:r>
        <w:rPr>
          <w:lang w:val="pl-PL" w:eastAsia="pl-PL"/>
        </w:rPr>
      </w:r>
      <w:r>
        <w:rPr/>
        <w:fldChar w:fldCharType="end"/>
      </w:r>
      <w:bookmarkEnd w:id="57"/>
      <w:r>
        <w:rPr/>
        <w:t xml:space="preserve"> powiat </w:t>
      </w:r>
      <w:r>
        <w:fldChar w:fldCharType="begin">
          <w:ffData>
            <w:name w:val="Tekst110"/>
            <w:enabled/>
            <w:calcOnExit w:val="0"/>
            <w:textInput/>
          </w:ffData>
        </w:fldChar>
      </w:r>
      <w:r>
        <w:rPr/>
        <w:instrText> FORMTEXT </w:instrText>
      </w:r>
      <w:r>
        <w:rPr/>
        <w:fldChar w:fldCharType="separate"/>
      </w:r>
      <w:bookmarkStart w:id="58" w:name="Tekst110"/>
      <w:r>
        <w:rPr>
          <w:lang w:val="pl-PL" w:eastAsia="pl-PL"/>
        </w:rPr>
        <w:t>     </w:t>
      </w:r>
      <w:r>
        <w:rPr>
          <w:lang w:val="pl-PL" w:eastAsia="pl-PL"/>
        </w:rPr>
      </w:r>
      <w:r>
        <w:rPr/>
        <w:fldChar w:fldCharType="end"/>
      </w:r>
      <w:bookmarkEnd w:id="58"/>
      <w:r>
        <w:rPr/>
        <w:t xml:space="preserve"> województwo </w:t>
      </w:r>
      <w:r>
        <w:fldChar w:fldCharType="begin">
          <w:ffData>
            <w:name w:val="Tekst111"/>
            <w:enabled/>
            <w:calcOnExit w:val="0"/>
            <w:textInput/>
          </w:ffData>
        </w:fldChar>
      </w:r>
      <w:r>
        <w:rPr/>
        <w:instrText> FORMTEXT </w:instrText>
      </w:r>
      <w:r>
        <w:rPr/>
        <w:fldChar w:fldCharType="separate"/>
      </w:r>
      <w:bookmarkStart w:id="59" w:name="Tekst111"/>
      <w:r>
        <w:rPr>
          <w:lang w:val="pl-PL" w:eastAsia="pl-PL"/>
        </w:rPr>
        <w:t>     </w:t>
      </w:r>
      <w:r>
        <w:rPr>
          <w:lang w:val="pl-PL" w:eastAsia="pl-PL"/>
        </w:rPr>
      </w:r>
      <w:r>
        <w:rPr/>
        <w:fldChar w:fldCharType="end"/>
      </w:r>
      <w:bookmarkEnd w:id="59"/>
    </w:p>
    <w:p>
      <w:pPr>
        <w:pStyle w:val="Normal"/>
        <w:rPr/>
      </w:pPr>
      <w:r>
        <w:rPr/>
        <w:t xml:space="preserve">     </w:t>
      </w:r>
      <w:r>
        <w:rPr/>
        <w:t xml:space="preserve">6)    tel. </w:t>
      </w:r>
      <w:r>
        <w:fldChar w:fldCharType="begin">
          <w:ffData>
            <w:name w:val="Tekst112"/>
            <w:enabled/>
            <w:calcOnExit w:val="0"/>
            <w:textInput/>
          </w:ffData>
        </w:fldChar>
      </w:r>
      <w:r>
        <w:rPr/>
        <w:instrText> FORMTEXT </w:instrText>
      </w:r>
      <w:r>
        <w:rPr/>
        <w:fldChar w:fldCharType="separate"/>
      </w:r>
      <w:bookmarkStart w:id="60" w:name="Tekst112"/>
      <w:r>
        <w:rPr>
          <w:lang w:val="pl-PL" w:eastAsia="pl-PL"/>
        </w:rPr>
        <w:t>     </w:t>
      </w:r>
      <w:r>
        <w:rPr>
          <w:lang w:val="pl-PL" w:eastAsia="pl-PL"/>
        </w:rPr>
      </w:r>
      <w:r>
        <w:rPr/>
        <w:fldChar w:fldCharType="end"/>
      </w:r>
      <w:bookmarkEnd w:id="60"/>
      <w:r>
        <w:rPr/>
        <w:t xml:space="preserve"> fax </w:t>
      </w:r>
      <w:r>
        <w:fldChar w:fldCharType="begin">
          <w:ffData>
            <w:name w:val="Tekst113"/>
            <w:enabled/>
            <w:calcOnExit w:val="0"/>
            <w:textInput/>
          </w:ffData>
        </w:fldChar>
      </w:r>
      <w:r>
        <w:rPr/>
        <w:instrText> FORMTEXT </w:instrText>
      </w:r>
      <w:r>
        <w:rPr/>
        <w:fldChar w:fldCharType="separate"/>
      </w:r>
      <w:bookmarkStart w:id="61" w:name="Tekst113"/>
      <w:r>
        <w:rPr>
          <w:lang w:val="pl-PL" w:eastAsia="pl-PL"/>
        </w:rPr>
        <w:t>     </w:t>
      </w:r>
      <w:r>
        <w:rPr>
          <w:lang w:val="pl-PL" w:eastAsia="pl-PL"/>
        </w:rPr>
      </w:r>
      <w:r>
        <w:rPr/>
        <w:fldChar w:fldCharType="end"/>
      </w:r>
      <w:bookmarkEnd w:id="61"/>
    </w:p>
    <w:p>
      <w:pPr>
        <w:pStyle w:val="Normal"/>
        <w:rPr/>
      </w:pPr>
      <w:r>
        <w:rPr/>
        <w:t xml:space="preserve">     </w:t>
      </w:r>
      <w:r>
        <w:rPr/>
        <w:t xml:space="preserve">7)   nazwa banku i numer rachunku: </w:t>
      </w:r>
      <w:r>
        <w:fldChar w:fldCharType="begin">
          <w:ffData>
            <w:name w:val="Tekst114"/>
            <w:enabled/>
            <w:calcOnExit w:val="0"/>
            <w:textInput/>
          </w:ffData>
        </w:fldChar>
      </w:r>
      <w:r>
        <w:rPr/>
        <w:instrText> FORMTEXT </w:instrText>
      </w:r>
      <w:r>
        <w:rPr/>
        <w:fldChar w:fldCharType="separate"/>
      </w:r>
      <w:bookmarkStart w:id="62" w:name="Tekst114"/>
      <w:r>
        <w:rPr>
          <w:lang w:val="pl-PL" w:eastAsia="pl-PL"/>
        </w:rPr>
        <w:t>     </w:t>
      </w:r>
      <w:r>
        <w:rPr>
          <w:lang w:val="pl-PL" w:eastAsia="pl-PL"/>
        </w:rPr>
      </w:r>
      <w:r>
        <w:rPr/>
        <w:fldChar w:fldCharType="end"/>
      </w:r>
      <w:bookmarkEnd w:id="62"/>
    </w:p>
    <w:p>
      <w:pPr>
        <w:pStyle w:val="Normal"/>
        <w:rPr/>
      </w:pPr>
      <w:r>
        <w:rPr/>
        <w:t xml:space="preserve">   </w:t>
      </w:r>
      <w:r>
        <w:rPr/>
        <w:t xml:space="preserve">*8)   nazwiska i imiona oraz funkcje osób statutowo upoważnionych do reprezentowania </w:t>
      </w:r>
    </w:p>
    <w:p>
      <w:pPr>
        <w:pStyle w:val="Normal"/>
        <w:rPr/>
      </w:pPr>
      <w:r>
        <w:rPr/>
        <w:t xml:space="preserve">          </w:t>
      </w:r>
      <w:r>
        <w:rPr/>
        <w:t>podmiotu w kontaktach zewnętrznych i zawierania umów:</w:t>
      </w:r>
    </w:p>
    <w:p>
      <w:pPr>
        <w:pStyle w:val="Normal"/>
        <w:rPr/>
      </w:pPr>
      <w:r>
        <w:rPr/>
        <w:t xml:space="preserve">          </w:t>
      </w:r>
      <w:r>
        <w:fldChar w:fldCharType="begin">
          <w:ffData>
            <w:name w:val="Tekst115"/>
            <w:enabled/>
            <w:calcOnExit w:val="0"/>
            <w:textInput/>
          </w:ffData>
        </w:fldChar>
      </w:r>
      <w:r>
        <w:rPr/>
        <w:instrText> FORMTEXT </w:instrText>
      </w:r>
      <w:r>
        <w:rPr/>
        <w:fldChar w:fldCharType="separate"/>
      </w:r>
      <w:bookmarkStart w:id="63" w:name="Tekst115"/>
      <w:r>
        <w:rPr>
          <w:lang w:val="pl-PL" w:eastAsia="pl-PL"/>
        </w:rPr>
        <w:t>     </w:t>
      </w:r>
      <w:r>
        <w:rPr>
          <w:lang w:val="pl-PL" w:eastAsia="pl-PL"/>
        </w:rPr>
      </w:r>
      <w:r>
        <w:rPr/>
        <w:fldChar w:fldCharType="end"/>
      </w:r>
      <w:bookmarkEnd w:id="63"/>
    </w:p>
    <w:p>
      <w:pPr>
        <w:pStyle w:val="Normal"/>
        <w:rPr/>
      </w:pPr>
      <w:r>
        <w:rPr/>
        <w:t>* - wypełniać w przypadku osób prawnych i jednostek organizacyjnych mniemających osobowości prawnej</w:t>
      </w:r>
    </w:p>
    <w:p>
      <w:pPr>
        <w:pStyle w:val="Normal"/>
        <w:rPr>
          <w:b/>
          <w:b/>
        </w:rPr>
      </w:pPr>
      <w:r>
        <w:rPr>
          <w:b/>
        </w:rPr>
      </w:r>
    </w:p>
    <w:p>
      <w:pPr>
        <w:pStyle w:val="Normal"/>
        <w:rPr>
          <w:b/>
          <w:b/>
        </w:rPr>
      </w:pPr>
      <w:r>
        <w:rPr>
          <w:b/>
        </w:rPr>
      </w:r>
    </w:p>
    <w:p>
      <w:pPr>
        <w:pStyle w:val="Normal"/>
        <w:rPr/>
      </w:pPr>
      <w:r>
        <w:rPr>
          <w:b/>
        </w:rPr>
        <w:t>II. Nazwa zabytku :</w:t>
      </w:r>
      <w:r>
        <w:rPr/>
        <w:t xml:space="preserve"> </w:t>
      </w:r>
      <w:r>
        <w:fldChar w:fldCharType="begin">
          <w:ffData>
            <w:name w:val="Tekst116"/>
            <w:enabled/>
            <w:calcOnExit w:val="0"/>
            <w:textInput/>
          </w:ffData>
        </w:fldChar>
      </w:r>
      <w:r>
        <w:rPr/>
        <w:instrText> FORMTEXT </w:instrText>
      </w:r>
      <w:r>
        <w:rPr/>
        <w:fldChar w:fldCharType="separate"/>
      </w:r>
      <w:bookmarkStart w:id="64" w:name="Tekst116"/>
      <w:r>
        <w:rPr>
          <w:lang w:val="pl-PL" w:eastAsia="pl-PL"/>
        </w:rPr>
        <w:t>     </w:t>
      </w:r>
      <w:r>
        <w:rPr>
          <w:lang w:val="pl-PL" w:eastAsia="pl-PL"/>
        </w:rPr>
      </w:r>
      <w:r>
        <w:rPr/>
        <w:fldChar w:fldCharType="end"/>
      </w:r>
      <w:bookmarkEnd w:id="64"/>
    </w:p>
    <w:p>
      <w:pPr>
        <w:pStyle w:val="Normal"/>
        <w:ind w:left="360" w:hanging="0"/>
        <w:rPr/>
      </w:pPr>
      <w:r>
        <w:rPr/>
      </w:r>
    </w:p>
    <w:p>
      <w:pPr>
        <w:pStyle w:val="Normal"/>
        <w:ind w:left="360" w:hanging="0"/>
        <w:rPr/>
      </w:pPr>
      <w:r>
        <w:rPr/>
      </w:r>
    </w:p>
    <w:p>
      <w:pPr>
        <w:pStyle w:val="Normal"/>
        <w:rPr/>
      </w:pPr>
      <w:r>
        <w:rPr>
          <w:b/>
        </w:rPr>
        <w:t>III.  Szczegółowe informacje o wykonanych pracach lub robotach</w:t>
      </w:r>
      <w:r>
        <w:rPr/>
        <w:t xml:space="preserve"> </w:t>
      </w:r>
      <w:r>
        <w:rPr>
          <w:b/>
        </w:rPr>
        <w:t>ewentualnie o przyczynach ich nie wykonania.</w:t>
      </w:r>
    </w:p>
    <w:p>
      <w:pPr>
        <w:pStyle w:val="Normal"/>
        <w:rPr>
          <w:b/>
          <w:b/>
        </w:rPr>
      </w:pPr>
      <w:r>
        <w:rPr>
          <w:b/>
        </w:rPr>
      </w:r>
    </w:p>
    <w:p>
      <w:pPr>
        <w:pStyle w:val="Normal"/>
        <w:rPr/>
      </w:pPr>
      <w:r>
        <w:rPr/>
        <w:t xml:space="preserve">           </w:t>
      </w:r>
      <w:r>
        <w:fldChar w:fldCharType="begin">
          <w:ffData>
            <w:name w:val="Tekst117"/>
            <w:enabled/>
            <w:calcOnExit w:val="0"/>
            <w:textInput/>
          </w:ffData>
        </w:fldChar>
      </w:r>
      <w:r>
        <w:rPr/>
        <w:instrText> FORMTEXT </w:instrText>
      </w:r>
      <w:r>
        <w:rPr/>
        <w:fldChar w:fldCharType="separate"/>
      </w:r>
      <w:bookmarkStart w:id="65" w:name="Tekst117"/>
      <w:r>
        <w:rPr>
          <w:lang w:val="pl-PL" w:eastAsia="pl-PL"/>
        </w:rPr>
        <w:t>     </w:t>
      </w:r>
      <w:r>
        <w:rPr>
          <w:lang w:val="pl-PL" w:eastAsia="pl-PL"/>
        </w:rPr>
      </w:r>
      <w:r>
        <w:rPr/>
        <w:fldChar w:fldCharType="end"/>
      </w:r>
      <w:bookmarkEnd w:id="65"/>
    </w:p>
    <w:p>
      <w:pPr>
        <w:pStyle w:val="Normal"/>
        <w:rPr/>
      </w:pPr>
      <w:r>
        <w:rPr/>
      </w:r>
    </w:p>
    <w:p>
      <w:pPr>
        <w:pStyle w:val="Normal"/>
        <w:rPr>
          <w:b/>
          <w:b/>
        </w:rPr>
      </w:pPr>
      <w:r>
        <w:rPr>
          <w:b/>
        </w:rPr>
        <w:t>IV.  Rozliczenie kosztu realizacji zadania</w:t>
      </w:r>
    </w:p>
    <w:p>
      <w:pPr>
        <w:pStyle w:val="Normal"/>
        <w:rPr>
          <w:b/>
          <w:b/>
        </w:rPr>
      </w:pPr>
      <w:r>
        <w:rPr>
          <w:b/>
        </w:rPr>
      </w:r>
    </w:p>
    <w:p>
      <w:pPr>
        <w:pStyle w:val="Normal"/>
        <w:rPr/>
      </w:pPr>
      <w:r>
        <w:rPr/>
        <w:t xml:space="preserve">          </w:t>
      </w:r>
      <w:r>
        <w:rPr/>
        <w:t xml:space="preserve">całkowity koszt (w zł.) :                                                   </w:t>
      </w:r>
      <w:r>
        <w:fldChar w:fldCharType="begin">
          <w:ffData>
            <w:name w:val="Tekst118"/>
            <w:enabled/>
            <w:calcOnExit w:val="0"/>
            <w:textInput/>
          </w:ffData>
        </w:fldChar>
      </w:r>
      <w:r>
        <w:rPr/>
        <w:instrText> FORMTEXT </w:instrText>
      </w:r>
      <w:r>
        <w:rPr/>
        <w:fldChar w:fldCharType="separate"/>
      </w:r>
      <w:bookmarkStart w:id="66" w:name="Tekst118"/>
      <w:r>
        <w:rPr>
          <w:lang w:val="pl-PL" w:eastAsia="pl-PL"/>
        </w:rPr>
        <w:t>     </w:t>
      </w:r>
      <w:r>
        <w:rPr>
          <w:lang w:val="pl-PL" w:eastAsia="pl-PL"/>
        </w:rPr>
      </w:r>
      <w:r>
        <w:rPr/>
        <w:fldChar w:fldCharType="end"/>
      </w:r>
      <w:bookmarkEnd w:id="66"/>
    </w:p>
    <w:p>
      <w:pPr>
        <w:pStyle w:val="Normal"/>
        <w:rPr/>
      </w:pPr>
      <w:r>
        <w:rPr/>
        <w:t xml:space="preserve">          </w:t>
      </w:r>
      <w:r>
        <w:rPr/>
        <w:t xml:space="preserve">-   w tym z dotacji ( w zł.)                                                </w:t>
      </w:r>
      <w:r>
        <w:fldChar w:fldCharType="begin">
          <w:ffData>
            <w:name w:val="Tekst119"/>
            <w:enabled/>
            <w:calcOnExit w:val="0"/>
            <w:textInput/>
          </w:ffData>
        </w:fldChar>
      </w:r>
      <w:r>
        <w:rPr/>
        <w:instrText> FORMTEXT </w:instrText>
      </w:r>
      <w:r>
        <w:rPr/>
        <w:fldChar w:fldCharType="separate"/>
      </w:r>
      <w:bookmarkStart w:id="67" w:name="Tekst119"/>
      <w:r>
        <w:rPr>
          <w:lang w:val="pl-PL" w:eastAsia="pl-PL"/>
        </w:rPr>
        <w:t>     </w:t>
      </w:r>
      <w:r>
        <w:rPr>
          <w:lang w:val="pl-PL" w:eastAsia="pl-PL"/>
        </w:rPr>
      </w:r>
      <w:r>
        <w:rPr/>
        <w:fldChar w:fldCharType="end"/>
      </w:r>
      <w:bookmarkEnd w:id="67"/>
    </w:p>
    <w:p>
      <w:pPr>
        <w:pStyle w:val="Normal"/>
        <w:rPr/>
      </w:pPr>
      <w:r>
        <w:rPr/>
        <w:t xml:space="preserve">          </w:t>
      </w:r>
      <w:r>
        <w:rPr/>
        <w:t xml:space="preserve">-   w tym ze środków własnych (w zł.)                            </w:t>
      </w:r>
      <w:r>
        <w:fldChar w:fldCharType="begin">
          <w:ffData>
            <w:name w:val="Tekst120"/>
            <w:enabled/>
            <w:calcOnExit w:val="0"/>
            <w:textInput/>
          </w:ffData>
        </w:fldChar>
      </w:r>
      <w:r>
        <w:rPr/>
        <w:instrText> FORMTEXT </w:instrText>
      </w:r>
      <w:r>
        <w:rPr/>
        <w:fldChar w:fldCharType="separate"/>
      </w:r>
      <w:bookmarkStart w:id="68" w:name="Tekst120"/>
      <w:r>
        <w:rPr>
          <w:lang w:val="pl-PL" w:eastAsia="pl-PL"/>
        </w:rPr>
        <w:t>     </w:t>
      </w:r>
      <w:r>
        <w:rPr>
          <w:lang w:val="pl-PL" w:eastAsia="pl-PL"/>
        </w:rPr>
      </w:r>
      <w:r>
        <w:rPr/>
        <w:fldChar w:fldCharType="end"/>
      </w:r>
      <w:bookmarkEnd w:id="68"/>
    </w:p>
    <w:p>
      <w:pPr>
        <w:pStyle w:val="Normal"/>
        <w:rPr/>
      </w:pPr>
      <w:r>
        <w:rPr/>
        <w:t xml:space="preserve">          </w:t>
      </w:r>
      <w:r>
        <w:rPr/>
        <w:t>-   w tym z innych źródeł (należy wskazać) (w zł)</w:t>
        <w:tab/>
      </w:r>
      <w:r>
        <w:fldChar w:fldCharType="begin">
          <w:ffData>
            <w:name w:val="Tekst121"/>
            <w:enabled/>
            <w:calcOnExit w:val="0"/>
            <w:textInput/>
          </w:ffData>
        </w:fldChar>
      </w:r>
      <w:r>
        <w:rPr/>
        <w:instrText> FORMTEXT </w:instrText>
      </w:r>
      <w:r>
        <w:rPr/>
        <w:fldChar w:fldCharType="separate"/>
      </w:r>
      <w:bookmarkStart w:id="69" w:name="Tekst121"/>
      <w:r>
        <w:rPr>
          <w:lang w:val="pl-PL" w:eastAsia="pl-PL"/>
        </w:rPr>
        <w:t>     </w:t>
      </w:r>
      <w:r>
        <w:rPr>
          <w:lang w:val="pl-PL" w:eastAsia="pl-PL"/>
        </w:rPr>
      </w:r>
      <w:r>
        <w:rPr/>
        <w:fldChar w:fldCharType="end"/>
      </w:r>
      <w:bookmarkEnd w:id="69"/>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
        </w:rPr>
      </w:pPr>
      <w:r>
        <w:rPr>
          <w:b/>
        </w:rPr>
        <w:t>V. Zestawienie rachunków i faktur finansowanych z przyznanej dotacji.</w:t>
      </w:r>
    </w:p>
    <w:p>
      <w:pPr>
        <w:pStyle w:val="Normal"/>
        <w:rPr>
          <w:b/>
          <w:b/>
        </w:rPr>
      </w:pPr>
      <w:r>
        <w:rPr>
          <w:b/>
        </w:rPr>
      </w:r>
    </w:p>
    <w:tbl>
      <w:tblPr>
        <w:tblW w:w="8835" w:type="dxa"/>
        <w:jc w:val="left"/>
        <w:tblInd w:w="0" w:type="dxa"/>
        <w:tblCellMar>
          <w:top w:w="0" w:type="dxa"/>
          <w:left w:w="40" w:type="dxa"/>
          <w:bottom w:w="0" w:type="dxa"/>
          <w:right w:w="40" w:type="dxa"/>
        </w:tblCellMar>
      </w:tblPr>
      <w:tblGrid>
        <w:gridCol w:w="540"/>
        <w:gridCol w:w="1320"/>
        <w:gridCol w:w="1320"/>
        <w:gridCol w:w="1320"/>
        <w:gridCol w:w="1320"/>
        <w:gridCol w:w="1200"/>
        <w:gridCol w:w="1815"/>
      </w:tblGrid>
      <w:tr>
        <w:trPr>
          <w:trHeight w:val="1220" w:hRule="exact"/>
        </w:trPr>
        <w:tc>
          <w:tcPr>
            <w:tcW w:w="540" w:type="dxa"/>
            <w:tcBorders>
              <w:top w:val="single" w:sz="6" w:space="0" w:color="000000"/>
              <w:left w:val="single" w:sz="6" w:space="0" w:color="000000"/>
              <w:bottom w:val="single" w:sz="6" w:space="0" w:color="000000"/>
            </w:tcBorders>
            <w:shd w:fill="auto" w:val="clear"/>
          </w:tcPr>
          <w:p>
            <w:pPr>
              <w:pStyle w:val="Normal"/>
              <w:spacing w:before="40" w:after="0"/>
              <w:jc w:val="center"/>
              <w:rPr>
                <w:color w:val="000000"/>
              </w:rPr>
            </w:pPr>
            <w:r>
              <w:rPr>
                <w:color w:val="000000"/>
              </w:rPr>
              <w:t>Lp.</w:t>
            </w:r>
          </w:p>
        </w:tc>
        <w:tc>
          <w:tcPr>
            <w:tcW w:w="1320" w:type="dxa"/>
            <w:tcBorders>
              <w:top w:val="single" w:sz="6" w:space="0" w:color="000000"/>
              <w:left w:val="single" w:sz="6" w:space="0" w:color="000000"/>
              <w:bottom w:val="single" w:sz="6" w:space="0" w:color="000000"/>
            </w:tcBorders>
            <w:shd w:fill="auto" w:val="clear"/>
          </w:tcPr>
          <w:p>
            <w:pPr>
              <w:pStyle w:val="Normal"/>
              <w:spacing w:before="40" w:after="0"/>
              <w:jc w:val="center"/>
              <w:rPr>
                <w:color w:val="000000"/>
              </w:rPr>
            </w:pPr>
            <w:r>
              <w:rPr>
                <w:color w:val="000000"/>
              </w:rPr>
              <w:t>Nr dokumentu</w:t>
            </w:r>
          </w:p>
          <w:p>
            <w:pPr>
              <w:pStyle w:val="Normal"/>
              <w:spacing w:before="40" w:after="0"/>
              <w:jc w:val="center"/>
              <w:rPr>
                <w:color w:val="000000"/>
              </w:rPr>
            </w:pPr>
            <w:r>
              <w:rPr>
                <w:color w:val="000000"/>
              </w:rPr>
              <w:t>księgowego</w:t>
            </w:r>
          </w:p>
          <w:p>
            <w:pPr>
              <w:pStyle w:val="Normal"/>
              <w:spacing w:before="40" w:after="0"/>
              <w:jc w:val="center"/>
              <w:rPr>
                <w:color w:val="000000"/>
              </w:rPr>
            </w:pPr>
            <w:r>
              <w:rPr>
                <w:color w:val="000000"/>
              </w:rPr>
            </w:r>
          </w:p>
        </w:tc>
        <w:tc>
          <w:tcPr>
            <w:tcW w:w="1320" w:type="dxa"/>
            <w:tcBorders>
              <w:top w:val="single" w:sz="6" w:space="0" w:color="000000"/>
              <w:left w:val="single" w:sz="6" w:space="0" w:color="000000"/>
              <w:bottom w:val="single" w:sz="6" w:space="0" w:color="000000"/>
            </w:tcBorders>
            <w:shd w:fill="auto" w:val="clear"/>
          </w:tcPr>
          <w:p>
            <w:pPr>
              <w:pStyle w:val="Normal"/>
              <w:spacing w:before="40" w:after="0"/>
              <w:jc w:val="center"/>
              <w:rPr>
                <w:color w:val="000000"/>
              </w:rPr>
            </w:pPr>
            <w:r>
              <w:rPr>
                <w:color w:val="000000"/>
              </w:rPr>
              <w:t>Numer</w:t>
            </w:r>
          </w:p>
          <w:p>
            <w:pPr>
              <w:pStyle w:val="Normal"/>
              <w:spacing w:before="40" w:after="0"/>
              <w:jc w:val="center"/>
              <w:rPr>
                <w:color w:val="000000"/>
              </w:rPr>
            </w:pPr>
            <w:r>
              <w:rPr>
                <w:color w:val="000000"/>
              </w:rPr>
              <w:t xml:space="preserve">pozycji </w:t>
            </w:r>
          </w:p>
          <w:p>
            <w:pPr>
              <w:pStyle w:val="Normal"/>
              <w:spacing w:before="40" w:after="0"/>
              <w:jc w:val="center"/>
              <w:rPr>
                <w:color w:val="000000"/>
              </w:rPr>
            </w:pPr>
            <w:r>
              <w:rPr>
                <w:color w:val="000000"/>
              </w:rPr>
              <w:t>księgowej</w:t>
            </w:r>
          </w:p>
          <w:p>
            <w:pPr>
              <w:pStyle w:val="Normal"/>
              <w:spacing w:before="40" w:after="0"/>
              <w:jc w:val="center"/>
              <w:rPr>
                <w:color w:val="000000"/>
              </w:rPr>
            </w:pPr>
            <w:r>
              <w:rPr>
                <w:color w:val="000000"/>
              </w:rPr>
            </w:r>
          </w:p>
        </w:tc>
        <w:tc>
          <w:tcPr>
            <w:tcW w:w="1320" w:type="dxa"/>
            <w:tcBorders>
              <w:top w:val="single" w:sz="6" w:space="0" w:color="000000"/>
              <w:left w:val="single" w:sz="6" w:space="0" w:color="000000"/>
              <w:bottom w:val="single" w:sz="6" w:space="0" w:color="000000"/>
            </w:tcBorders>
            <w:shd w:fill="auto" w:val="clear"/>
          </w:tcPr>
          <w:p>
            <w:pPr>
              <w:pStyle w:val="Normal"/>
              <w:spacing w:before="40" w:after="0"/>
              <w:jc w:val="center"/>
              <w:rPr>
                <w:color w:val="000000"/>
              </w:rPr>
            </w:pPr>
            <w:r>
              <w:rPr>
                <w:color w:val="000000"/>
              </w:rPr>
              <w:t>Data</w:t>
            </w:r>
          </w:p>
          <w:p>
            <w:pPr>
              <w:pStyle w:val="Normal"/>
              <w:spacing w:before="40" w:after="0"/>
              <w:jc w:val="center"/>
              <w:rPr>
                <w:color w:val="000000"/>
              </w:rPr>
            </w:pPr>
            <w:r>
              <w:rPr>
                <w:color w:val="000000"/>
              </w:rPr>
            </w:r>
          </w:p>
        </w:tc>
        <w:tc>
          <w:tcPr>
            <w:tcW w:w="1320" w:type="dxa"/>
            <w:tcBorders>
              <w:top w:val="single" w:sz="6" w:space="0" w:color="000000"/>
              <w:left w:val="single" w:sz="6" w:space="0" w:color="000000"/>
              <w:bottom w:val="single" w:sz="6" w:space="0" w:color="000000"/>
            </w:tcBorders>
            <w:shd w:fill="auto" w:val="clear"/>
          </w:tcPr>
          <w:p>
            <w:pPr>
              <w:pStyle w:val="Normal"/>
              <w:spacing w:before="40" w:after="0"/>
              <w:jc w:val="center"/>
              <w:rPr>
                <w:color w:val="000000"/>
              </w:rPr>
            </w:pPr>
            <w:r>
              <w:rPr>
                <w:color w:val="000000"/>
              </w:rPr>
              <w:t>Nazwa</w:t>
            </w:r>
          </w:p>
          <w:p>
            <w:pPr>
              <w:pStyle w:val="Normal"/>
              <w:spacing w:before="40" w:after="0"/>
              <w:jc w:val="center"/>
              <w:rPr>
                <w:color w:val="000000"/>
              </w:rPr>
            </w:pPr>
            <w:r>
              <w:rPr>
                <w:color w:val="000000"/>
              </w:rPr>
              <w:t>wydatku</w:t>
            </w:r>
          </w:p>
          <w:p>
            <w:pPr>
              <w:pStyle w:val="Normal"/>
              <w:spacing w:before="40" w:after="0"/>
              <w:jc w:val="center"/>
              <w:rPr>
                <w:color w:val="000000"/>
              </w:rPr>
            </w:pPr>
            <w:r>
              <w:rPr>
                <w:color w:val="000000"/>
              </w:rPr>
            </w:r>
          </w:p>
        </w:tc>
        <w:tc>
          <w:tcPr>
            <w:tcW w:w="1200" w:type="dxa"/>
            <w:tcBorders>
              <w:top w:val="single" w:sz="6" w:space="0" w:color="000000"/>
              <w:left w:val="single" w:sz="6" w:space="0" w:color="000000"/>
              <w:bottom w:val="single" w:sz="6" w:space="0" w:color="000000"/>
            </w:tcBorders>
            <w:shd w:fill="auto" w:val="clear"/>
          </w:tcPr>
          <w:p>
            <w:pPr>
              <w:pStyle w:val="Normal"/>
              <w:spacing w:before="40" w:after="0"/>
              <w:ind w:right="200" w:hanging="0"/>
              <w:jc w:val="center"/>
              <w:rPr>
                <w:color w:val="000000"/>
              </w:rPr>
            </w:pPr>
            <w:r>
              <w:rPr>
                <w:color w:val="000000"/>
              </w:rPr>
              <w:t>Kwota</w:t>
            </w:r>
          </w:p>
          <w:p>
            <w:pPr>
              <w:pStyle w:val="Normal"/>
              <w:spacing w:before="40" w:after="0"/>
              <w:ind w:right="200" w:hanging="0"/>
              <w:jc w:val="center"/>
              <w:rPr>
                <w:color w:val="000000"/>
              </w:rPr>
            </w:pPr>
            <w:r>
              <w:rPr>
                <w:color w:val="000000"/>
              </w:rPr>
              <w:t>(w zł.)</w:t>
            </w:r>
          </w:p>
          <w:p>
            <w:pPr>
              <w:pStyle w:val="Normal"/>
              <w:spacing w:before="40" w:after="0"/>
              <w:ind w:right="200" w:hanging="0"/>
              <w:jc w:val="center"/>
              <w:rPr>
                <w:color w:val="000000"/>
              </w:rPr>
            </w:pPr>
            <w:r>
              <w:rPr>
                <w:color w:val="000000"/>
              </w:rPr>
            </w:r>
          </w:p>
        </w:tc>
        <w:tc>
          <w:tcPr>
            <w:tcW w:w="1815" w:type="dxa"/>
            <w:tcBorders>
              <w:top w:val="single" w:sz="6" w:space="0" w:color="000000"/>
              <w:left w:val="single" w:sz="6" w:space="0" w:color="000000"/>
              <w:bottom w:val="single" w:sz="6" w:space="0" w:color="000000"/>
              <w:right w:val="single" w:sz="6" w:space="0" w:color="000000"/>
            </w:tcBorders>
            <w:shd w:fill="auto" w:val="clear"/>
          </w:tcPr>
          <w:p>
            <w:pPr>
              <w:pStyle w:val="Normal"/>
              <w:spacing w:before="40" w:after="0"/>
              <w:ind w:left="120" w:hanging="0"/>
              <w:jc w:val="center"/>
              <w:rPr>
                <w:color w:val="000000"/>
              </w:rPr>
            </w:pPr>
            <w:r>
              <w:rPr>
                <w:color w:val="000000"/>
              </w:rPr>
              <w:t>W tym ze</w:t>
            </w:r>
          </w:p>
          <w:p>
            <w:pPr>
              <w:pStyle w:val="Normal"/>
              <w:spacing w:before="40" w:after="0"/>
              <w:ind w:left="120" w:hanging="0"/>
              <w:jc w:val="center"/>
              <w:rPr>
                <w:color w:val="000000"/>
              </w:rPr>
            </w:pPr>
            <w:r>
              <w:rPr>
                <w:color w:val="000000"/>
              </w:rPr>
              <w:t>środków pochodzących</w:t>
            </w:r>
          </w:p>
          <w:p>
            <w:pPr>
              <w:pStyle w:val="Normal"/>
              <w:spacing w:before="40" w:after="0"/>
              <w:ind w:left="120" w:hanging="0"/>
              <w:jc w:val="center"/>
              <w:rPr>
                <w:color w:val="000000"/>
              </w:rPr>
            </w:pPr>
            <w:r>
              <w:rPr>
                <w:color w:val="000000"/>
              </w:rPr>
              <w:t>z dotacji</w:t>
            </w:r>
          </w:p>
          <w:p>
            <w:pPr>
              <w:pStyle w:val="Normal"/>
              <w:spacing w:before="40" w:after="0"/>
              <w:ind w:left="520" w:right="200" w:hanging="0"/>
              <w:jc w:val="center"/>
              <w:rPr>
                <w:color w:val="000000"/>
              </w:rPr>
            </w:pPr>
            <w:r>
              <w:rPr>
                <w:color w:val="000000"/>
              </w:rPr>
            </w:r>
          </w:p>
          <w:p>
            <w:pPr>
              <w:pStyle w:val="Normal"/>
              <w:spacing w:before="40" w:after="0"/>
              <w:ind w:left="520" w:right="200" w:hanging="0"/>
              <w:jc w:val="center"/>
              <w:rPr>
                <w:color w:val="000000"/>
              </w:rPr>
            </w:pPr>
            <w:r>
              <w:rPr>
                <w:color w:val="000000"/>
              </w:rPr>
            </w:r>
          </w:p>
        </w:tc>
      </w:tr>
      <w:tr>
        <w:trPr>
          <w:trHeight w:val="960" w:hRule="exact"/>
        </w:trPr>
        <w:tc>
          <w:tcPr>
            <w:tcW w:w="540" w:type="dxa"/>
            <w:tcBorders>
              <w:top w:val="single" w:sz="6" w:space="0" w:color="000000"/>
              <w:left w:val="single" w:sz="6" w:space="0" w:color="000000"/>
              <w:bottom w:val="single" w:sz="6" w:space="0" w:color="000000"/>
            </w:tcBorders>
            <w:shd w:fill="auto" w:val="clear"/>
          </w:tcPr>
          <w:p>
            <w:pPr>
              <w:pStyle w:val="Normal"/>
              <w:rPr>
                <w:color w:val="000000"/>
                <w:sz w:val="12"/>
                <w:lang w:val="pl-PL" w:eastAsia="pl-PL"/>
              </w:rPr>
            </w:pPr>
            <w:r>
              <w:fldChar w:fldCharType="begin">
                <w:ffData>
                  <w:name w:val="Tekst122"/>
                  <w:enabled/>
                  <w:calcOnExit w:val="0"/>
                  <w:textInput/>
                </w:ffData>
              </w:fldChar>
            </w:r>
            <w:r>
              <w:rPr>
                <w:sz w:val="12"/>
              </w:rPr>
              <w:instrText> FORMTEXT </w:instrText>
            </w:r>
            <w:r>
              <w:rPr>
                <w:sz w:val="12"/>
              </w:rPr>
              <w:fldChar w:fldCharType="separate"/>
            </w:r>
            <w:bookmarkStart w:id="70" w:name="Tekst122"/>
            <w:r>
              <w:rPr>
                <w:color w:val="000000"/>
                <w:sz w:val="12"/>
                <w:lang w:val="pl-PL" w:eastAsia="pl-PL"/>
              </w:rPr>
              <w:t>     </w:t>
            </w:r>
            <w:r>
              <w:rPr>
                <w:color w:val="000000"/>
                <w:sz w:val="12"/>
                <w:lang w:val="pl-PL" w:eastAsia="pl-PL"/>
              </w:rPr>
            </w:r>
            <w:r>
              <w:rPr>
                <w:sz w:val="12"/>
              </w:rPr>
              <w:fldChar w:fldCharType="end"/>
            </w:r>
            <w:bookmarkEnd w:id="70"/>
          </w:p>
        </w:tc>
        <w:tc>
          <w:tcPr>
            <w:tcW w:w="1320" w:type="dxa"/>
            <w:tcBorders>
              <w:top w:val="single" w:sz="6" w:space="0" w:color="000000"/>
              <w:left w:val="single" w:sz="6" w:space="0" w:color="000000"/>
              <w:bottom w:val="single" w:sz="6" w:space="0" w:color="000000"/>
            </w:tcBorders>
            <w:shd w:fill="auto" w:val="clear"/>
          </w:tcPr>
          <w:p>
            <w:pPr>
              <w:pStyle w:val="Normal"/>
              <w:jc w:val="center"/>
              <w:rPr>
                <w:color w:val="000000"/>
                <w:sz w:val="12"/>
                <w:lang w:val="pl-PL" w:eastAsia="pl-PL"/>
              </w:rPr>
            </w:pPr>
            <w:r>
              <w:fldChar w:fldCharType="begin">
                <w:ffData>
                  <w:name w:val="Tekst123"/>
                  <w:enabled/>
                  <w:calcOnExit w:val="0"/>
                  <w:textInput/>
                </w:ffData>
              </w:fldChar>
            </w:r>
            <w:r>
              <w:rPr>
                <w:sz w:val="12"/>
              </w:rPr>
              <w:instrText> FORMTEXT </w:instrText>
            </w:r>
            <w:r>
              <w:rPr>
                <w:sz w:val="12"/>
              </w:rPr>
              <w:fldChar w:fldCharType="separate"/>
            </w:r>
            <w:bookmarkStart w:id="71" w:name="Tekst123"/>
            <w:r>
              <w:rPr>
                <w:color w:val="000000"/>
                <w:sz w:val="12"/>
                <w:lang w:val="pl-PL" w:eastAsia="pl-PL"/>
              </w:rPr>
              <w:t>     </w:t>
            </w:r>
            <w:r>
              <w:rPr>
                <w:color w:val="000000"/>
                <w:sz w:val="12"/>
                <w:lang w:val="pl-PL" w:eastAsia="pl-PL"/>
              </w:rPr>
            </w:r>
            <w:r>
              <w:rPr>
                <w:sz w:val="12"/>
              </w:rPr>
              <w:fldChar w:fldCharType="end"/>
            </w:r>
            <w:bookmarkEnd w:id="71"/>
          </w:p>
        </w:tc>
        <w:tc>
          <w:tcPr>
            <w:tcW w:w="1320" w:type="dxa"/>
            <w:tcBorders>
              <w:top w:val="single" w:sz="6" w:space="0" w:color="000000"/>
              <w:left w:val="single" w:sz="6" w:space="0" w:color="000000"/>
              <w:bottom w:val="single" w:sz="6" w:space="0" w:color="000000"/>
            </w:tcBorders>
            <w:shd w:fill="auto" w:val="clear"/>
          </w:tcPr>
          <w:p>
            <w:pPr>
              <w:pStyle w:val="Normal"/>
              <w:jc w:val="center"/>
              <w:rPr>
                <w:color w:val="000000"/>
                <w:sz w:val="12"/>
                <w:lang w:val="pl-PL" w:eastAsia="pl-PL"/>
              </w:rPr>
            </w:pPr>
            <w:r>
              <w:fldChar w:fldCharType="begin">
                <w:ffData>
                  <w:name w:val="Tekst124"/>
                  <w:enabled/>
                  <w:calcOnExit w:val="0"/>
                  <w:textInput/>
                </w:ffData>
              </w:fldChar>
            </w:r>
            <w:r>
              <w:rPr>
                <w:sz w:val="12"/>
              </w:rPr>
              <w:instrText> FORMTEXT </w:instrText>
            </w:r>
            <w:r>
              <w:rPr>
                <w:sz w:val="12"/>
              </w:rPr>
              <w:fldChar w:fldCharType="separate"/>
            </w:r>
            <w:bookmarkStart w:id="72" w:name="Tekst124"/>
            <w:r>
              <w:rPr>
                <w:color w:val="000000"/>
                <w:sz w:val="12"/>
                <w:lang w:val="pl-PL" w:eastAsia="pl-PL"/>
              </w:rPr>
              <w:t>     </w:t>
            </w:r>
            <w:r>
              <w:rPr>
                <w:color w:val="000000"/>
                <w:sz w:val="12"/>
                <w:lang w:val="pl-PL" w:eastAsia="pl-PL"/>
              </w:rPr>
            </w:r>
            <w:r>
              <w:rPr>
                <w:sz w:val="12"/>
              </w:rPr>
              <w:fldChar w:fldCharType="end"/>
            </w:r>
            <w:bookmarkEnd w:id="72"/>
          </w:p>
        </w:tc>
        <w:tc>
          <w:tcPr>
            <w:tcW w:w="1320" w:type="dxa"/>
            <w:tcBorders>
              <w:top w:val="single" w:sz="6" w:space="0" w:color="000000"/>
              <w:left w:val="single" w:sz="6" w:space="0" w:color="000000"/>
              <w:bottom w:val="single" w:sz="6" w:space="0" w:color="000000"/>
            </w:tcBorders>
            <w:shd w:fill="auto" w:val="clear"/>
          </w:tcPr>
          <w:p>
            <w:pPr>
              <w:pStyle w:val="Normal"/>
              <w:jc w:val="center"/>
              <w:rPr>
                <w:color w:val="000000"/>
                <w:sz w:val="12"/>
                <w:lang w:val="pl-PL" w:eastAsia="pl-PL"/>
              </w:rPr>
            </w:pPr>
            <w:r>
              <w:fldChar w:fldCharType="begin">
                <w:ffData>
                  <w:name w:val="Tekst125"/>
                  <w:enabled/>
                  <w:calcOnExit w:val="0"/>
                  <w:textInput/>
                </w:ffData>
              </w:fldChar>
            </w:r>
            <w:r>
              <w:rPr>
                <w:sz w:val="12"/>
              </w:rPr>
              <w:instrText> FORMTEXT </w:instrText>
            </w:r>
            <w:r>
              <w:rPr>
                <w:sz w:val="12"/>
              </w:rPr>
              <w:fldChar w:fldCharType="separate"/>
            </w:r>
            <w:bookmarkStart w:id="73" w:name="Tekst125"/>
            <w:r>
              <w:rPr>
                <w:color w:val="000000"/>
                <w:sz w:val="12"/>
                <w:lang w:val="pl-PL" w:eastAsia="pl-PL"/>
              </w:rPr>
              <w:t>     </w:t>
            </w:r>
            <w:r>
              <w:rPr>
                <w:color w:val="000000"/>
                <w:sz w:val="12"/>
                <w:lang w:val="pl-PL" w:eastAsia="pl-PL"/>
              </w:rPr>
            </w:r>
            <w:r>
              <w:rPr>
                <w:sz w:val="12"/>
              </w:rPr>
              <w:fldChar w:fldCharType="end"/>
            </w:r>
            <w:bookmarkEnd w:id="73"/>
          </w:p>
        </w:tc>
        <w:tc>
          <w:tcPr>
            <w:tcW w:w="1320" w:type="dxa"/>
            <w:tcBorders>
              <w:top w:val="single" w:sz="6" w:space="0" w:color="000000"/>
              <w:left w:val="single" w:sz="6" w:space="0" w:color="000000"/>
              <w:bottom w:val="single" w:sz="6" w:space="0" w:color="000000"/>
            </w:tcBorders>
            <w:shd w:fill="auto" w:val="clear"/>
          </w:tcPr>
          <w:p>
            <w:pPr>
              <w:pStyle w:val="Normal"/>
              <w:jc w:val="center"/>
              <w:rPr>
                <w:color w:val="000000"/>
                <w:sz w:val="12"/>
                <w:lang w:val="pl-PL" w:eastAsia="pl-PL"/>
              </w:rPr>
            </w:pPr>
            <w:r>
              <w:fldChar w:fldCharType="begin">
                <w:ffData>
                  <w:name w:val="Tekst126"/>
                  <w:enabled/>
                  <w:calcOnExit w:val="0"/>
                  <w:textInput/>
                </w:ffData>
              </w:fldChar>
            </w:r>
            <w:r>
              <w:rPr>
                <w:sz w:val="12"/>
              </w:rPr>
              <w:instrText> FORMTEXT </w:instrText>
            </w:r>
            <w:r>
              <w:rPr>
                <w:sz w:val="12"/>
              </w:rPr>
              <w:fldChar w:fldCharType="separate"/>
            </w:r>
            <w:bookmarkStart w:id="74" w:name="Tekst126"/>
            <w:r>
              <w:rPr>
                <w:color w:val="000000"/>
                <w:sz w:val="12"/>
                <w:lang w:val="pl-PL" w:eastAsia="pl-PL"/>
              </w:rPr>
              <w:t>     </w:t>
            </w:r>
            <w:r>
              <w:rPr>
                <w:color w:val="000000"/>
                <w:sz w:val="12"/>
                <w:lang w:val="pl-PL" w:eastAsia="pl-PL"/>
              </w:rPr>
            </w:r>
            <w:r>
              <w:rPr>
                <w:sz w:val="12"/>
              </w:rPr>
              <w:fldChar w:fldCharType="end"/>
            </w:r>
            <w:bookmarkEnd w:id="74"/>
          </w:p>
        </w:tc>
        <w:tc>
          <w:tcPr>
            <w:tcW w:w="1200" w:type="dxa"/>
            <w:tcBorders>
              <w:top w:val="single" w:sz="6" w:space="0" w:color="000000"/>
              <w:left w:val="single" w:sz="6" w:space="0" w:color="000000"/>
              <w:bottom w:val="single" w:sz="6" w:space="0" w:color="000000"/>
            </w:tcBorders>
            <w:shd w:fill="auto" w:val="clear"/>
          </w:tcPr>
          <w:p>
            <w:pPr>
              <w:pStyle w:val="Normal"/>
              <w:jc w:val="center"/>
              <w:rPr>
                <w:color w:val="000000"/>
                <w:sz w:val="12"/>
                <w:lang w:val="pl-PL" w:eastAsia="pl-PL"/>
              </w:rPr>
            </w:pPr>
            <w:r>
              <w:fldChar w:fldCharType="begin">
                <w:ffData>
                  <w:name w:val="Tekst127"/>
                  <w:enabled/>
                  <w:calcOnExit w:val="0"/>
                  <w:textInput/>
                </w:ffData>
              </w:fldChar>
            </w:r>
            <w:r>
              <w:rPr>
                <w:sz w:val="12"/>
              </w:rPr>
              <w:instrText> FORMTEXT </w:instrText>
            </w:r>
            <w:r>
              <w:rPr>
                <w:sz w:val="12"/>
              </w:rPr>
              <w:fldChar w:fldCharType="separate"/>
            </w:r>
            <w:bookmarkStart w:id="75" w:name="Tekst127"/>
            <w:r>
              <w:rPr>
                <w:color w:val="000000"/>
                <w:sz w:val="12"/>
                <w:lang w:val="pl-PL" w:eastAsia="pl-PL"/>
              </w:rPr>
              <w:t>     </w:t>
            </w:r>
            <w:r>
              <w:rPr>
                <w:color w:val="000000"/>
                <w:sz w:val="12"/>
                <w:lang w:val="pl-PL" w:eastAsia="pl-PL"/>
              </w:rPr>
            </w:r>
            <w:r>
              <w:rPr>
                <w:sz w:val="12"/>
              </w:rPr>
              <w:fldChar w:fldCharType="end"/>
            </w:r>
            <w:bookmarkEnd w:id="75"/>
          </w:p>
        </w:tc>
        <w:tc>
          <w:tcPr>
            <w:tcW w:w="1815" w:type="dxa"/>
            <w:tcBorders>
              <w:top w:val="single" w:sz="6" w:space="0" w:color="000000"/>
              <w:left w:val="single" w:sz="6" w:space="0" w:color="000000"/>
              <w:bottom w:val="single" w:sz="6" w:space="0" w:color="000000"/>
              <w:right w:val="single" w:sz="6" w:space="0" w:color="000000"/>
            </w:tcBorders>
            <w:shd w:fill="auto" w:val="clear"/>
          </w:tcPr>
          <w:p>
            <w:pPr>
              <w:pStyle w:val="Normal"/>
              <w:jc w:val="center"/>
              <w:rPr>
                <w:color w:val="000000"/>
                <w:sz w:val="12"/>
                <w:lang w:val="pl-PL" w:eastAsia="pl-PL"/>
              </w:rPr>
            </w:pPr>
            <w:r>
              <w:fldChar w:fldCharType="begin">
                <w:ffData>
                  <w:name w:val="Tekst128"/>
                  <w:enabled/>
                  <w:calcOnExit w:val="0"/>
                  <w:textInput/>
                </w:ffData>
              </w:fldChar>
            </w:r>
            <w:r>
              <w:rPr>
                <w:sz w:val="12"/>
              </w:rPr>
              <w:instrText> FORMTEXT </w:instrText>
            </w:r>
            <w:r>
              <w:rPr>
                <w:sz w:val="12"/>
              </w:rPr>
              <w:fldChar w:fldCharType="separate"/>
            </w:r>
            <w:bookmarkStart w:id="76" w:name="Tekst128"/>
            <w:r>
              <w:rPr>
                <w:color w:val="000000"/>
                <w:sz w:val="12"/>
                <w:lang w:val="pl-PL" w:eastAsia="pl-PL"/>
              </w:rPr>
              <w:t>     </w:t>
            </w:r>
            <w:r>
              <w:rPr>
                <w:color w:val="000000"/>
                <w:sz w:val="12"/>
                <w:lang w:val="pl-PL" w:eastAsia="pl-PL"/>
              </w:rPr>
            </w:r>
            <w:r>
              <w:rPr>
                <w:sz w:val="12"/>
              </w:rPr>
              <w:fldChar w:fldCharType="end"/>
            </w:r>
            <w:bookmarkEnd w:id="76"/>
          </w:p>
        </w:tc>
      </w:tr>
    </w:tbl>
    <w:p>
      <w:pPr>
        <w:pStyle w:val="Normal"/>
        <w:rPr/>
      </w:pPr>
      <w:r>
        <w:rPr/>
      </w:r>
    </w:p>
    <w:tbl>
      <w:tblPr>
        <w:tblW w:w="9212" w:type="dxa"/>
        <w:jc w:val="left"/>
        <w:tblInd w:w="-108" w:type="dxa"/>
        <w:tblCellMar>
          <w:top w:w="0" w:type="dxa"/>
          <w:left w:w="70" w:type="dxa"/>
          <w:bottom w:w="0" w:type="dxa"/>
          <w:right w:w="70" w:type="dxa"/>
        </w:tblCellMar>
      </w:tblPr>
      <w:tblGrid>
        <w:gridCol w:w="4606"/>
        <w:gridCol w:w="4606"/>
      </w:tblGrid>
      <w:tr>
        <w:trPr/>
        <w:tc>
          <w:tcPr>
            <w:tcW w:w="4606" w:type="dxa"/>
            <w:tcBorders/>
            <w:shd w:fill="auto" w:val="clear"/>
          </w:tcPr>
          <w:p>
            <w:pPr>
              <w:pStyle w:val="Normal"/>
              <w:jc w:val="center"/>
              <w:rPr/>
            </w:pPr>
            <w:r>
              <w:rPr/>
              <w:t>(pieczęć składającego sprawozdanie)</w:t>
            </w:r>
          </w:p>
        </w:tc>
        <w:tc>
          <w:tcPr>
            <w:tcW w:w="4606" w:type="dxa"/>
            <w:tcBorders/>
            <w:shd w:fill="auto" w:val="clear"/>
          </w:tcPr>
          <w:p>
            <w:pPr>
              <w:pStyle w:val="Normal"/>
              <w:jc w:val="center"/>
              <w:rPr/>
            </w:pPr>
            <w:r>
              <w:rPr/>
              <w:t xml:space="preserve">podpis osoby upoważnionej </w:t>
            </w:r>
          </w:p>
          <w:p>
            <w:pPr>
              <w:pStyle w:val="Normal"/>
              <w:jc w:val="center"/>
              <w:rPr/>
            </w:pPr>
            <w:r>
              <w:rPr/>
              <w:t>do składania oświadczeń woli w imieniu wnioskodawcy</w:t>
            </w:r>
          </w:p>
        </w:tc>
      </w:tr>
    </w:tbl>
    <w:p>
      <w:pPr>
        <w:pStyle w:val="Normal"/>
        <w:rPr/>
      </w:pPr>
      <w:r>
        <w:rPr/>
      </w:r>
    </w:p>
    <w:p>
      <w:pPr>
        <w:pStyle w:val="Normal"/>
        <w:jc w:val="both"/>
        <w:rPr>
          <w:b/>
          <w:b/>
          <w:color w:val="000000"/>
        </w:rPr>
      </w:pPr>
      <w:r>
        <w:rPr>
          <w:b/>
          <w:color w:val="000000"/>
        </w:rPr>
        <w:t>VI. Rozliczenie dotacji (*wypełnia organ):</w:t>
      </w:r>
    </w:p>
    <w:p>
      <w:pPr>
        <w:pStyle w:val="Normal"/>
        <w:jc w:val="both"/>
        <w:rPr>
          <w:b/>
          <w:b/>
          <w:color w:val="000000"/>
          <w:sz w:val="22"/>
        </w:rPr>
      </w:pPr>
      <w:r>
        <w:rPr>
          <w:b/>
          <w:color w:val="000000"/>
          <w:sz w:val="22"/>
        </w:rPr>
      </w:r>
    </w:p>
    <w:p>
      <w:pPr>
        <w:pStyle w:val="Normal"/>
        <w:jc w:val="both"/>
        <w:rPr>
          <w:b/>
          <w:b/>
          <w:color w:val="000000"/>
          <w:sz w:val="22"/>
        </w:rPr>
      </w:pPr>
      <w:r>
        <w:rPr>
          <w:b/>
          <w:color w:val="000000"/>
          <w:sz w:val="22"/>
        </w:rPr>
      </w:r>
    </w:p>
    <w:p>
      <w:pPr>
        <w:pStyle w:val="Normal"/>
        <w:jc w:val="both"/>
        <w:rPr>
          <w:b/>
          <w:b/>
          <w:color w:val="000000"/>
          <w:sz w:val="22"/>
        </w:rPr>
      </w:pPr>
      <w:r>
        <w:rPr>
          <w:b/>
          <w:color w:val="000000"/>
          <w:sz w:val="22"/>
        </w:rPr>
      </w:r>
    </w:p>
    <w:p>
      <w:pPr>
        <w:pStyle w:val="Normal"/>
        <w:jc w:val="both"/>
        <w:rPr>
          <w:color w:val="000000"/>
          <w:sz w:val="22"/>
        </w:rPr>
      </w:pPr>
      <w:r>
        <w:rPr>
          <w:color w:val="000000"/>
          <w:sz w:val="22"/>
        </w:rPr>
        <w:t>...............................................</w:t>
      </w:r>
    </w:p>
    <w:p>
      <w:pPr>
        <w:pStyle w:val="Normal"/>
        <w:jc w:val="both"/>
        <w:rPr/>
      </w:pPr>
      <w:r>
        <w:rPr>
          <w:color w:val="000000"/>
          <w:sz w:val="22"/>
        </w:rPr>
        <w:t>(Pieczęć i podpis Wójta Gminy Kamieniec Ząbkowicki lub osoby upoważnionej)</w:t>
      </w:r>
    </w:p>
    <w:p>
      <w:pPr>
        <w:pStyle w:val="Normal"/>
        <w:ind w:firstLine="708"/>
        <w:jc w:val="both"/>
        <w:rPr>
          <w:color w:val="000000"/>
          <w:sz w:val="26"/>
        </w:rPr>
      </w:pPr>
      <w:r>
        <w:rPr>
          <w:color w:val="000000"/>
          <w:sz w:val="26"/>
        </w:rPr>
      </w:r>
    </w:p>
    <w:p>
      <w:pPr>
        <w:pStyle w:val="Normal"/>
        <w:rPr>
          <w:color w:val="000000"/>
          <w:sz w:val="26"/>
        </w:rPr>
      </w:pPr>
      <w:r>
        <w:rPr>
          <w:color w:val="000000"/>
          <w:sz w:val="26"/>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i/>
          <w:i/>
          <w:color w:val="000000"/>
        </w:rPr>
      </w:pPr>
      <w:r>
        <w:rPr>
          <w:i/>
          <w:color w:val="000000"/>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12</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jc w:val="center"/>
        <w:rPr>
          <w:b/>
          <w:b/>
        </w:rPr>
      </w:pPr>
      <w:r>
        <w:rPr/>
      </w:r>
    </w:p>
    <w:p>
      <w:pPr>
        <w:pStyle w:val="Normal"/>
        <w:jc w:val="center"/>
        <w:rPr/>
      </w:pPr>
      <w:r>
        <w:rPr>
          <w:b/>
        </w:rPr>
        <w:t xml:space="preserve">UCHWAŁA NR …../…./2020 </w:t>
        <w:br/>
        <w:t>RADY KAMIENIEC ZĄBKOWICKI</w:t>
      </w:r>
    </w:p>
    <w:p>
      <w:pPr>
        <w:pStyle w:val="Normal"/>
        <w:jc w:val="center"/>
        <w:rPr>
          <w:b/>
          <w:b/>
        </w:rPr>
      </w:pPr>
      <w:r>
        <w:rPr>
          <w:b/>
        </w:rPr>
      </w:r>
    </w:p>
    <w:p>
      <w:pPr>
        <w:pStyle w:val="Normal"/>
        <w:jc w:val="center"/>
        <w:rPr/>
      </w:pPr>
      <w:r>
        <w:rPr/>
        <w:t>z dnia ……………………. 2020r.</w:t>
      </w:r>
    </w:p>
    <w:p>
      <w:pPr>
        <w:pStyle w:val="Normal"/>
        <w:jc w:val="center"/>
        <w:rPr>
          <w:rFonts w:ascii="Arial" w:hAnsi="Arial" w:cs="Arial"/>
          <w:b/>
          <w:b/>
          <w:sz w:val="20"/>
          <w:szCs w:val="20"/>
        </w:rPr>
      </w:pPr>
      <w:r>
        <w:rPr>
          <w:rFonts w:cs="Arial" w:ascii="Arial" w:hAnsi="Arial"/>
          <w:b/>
          <w:sz w:val="20"/>
          <w:szCs w:val="20"/>
        </w:rPr>
      </w:r>
    </w:p>
    <w:p>
      <w:pPr>
        <w:pStyle w:val="Normal"/>
        <w:jc w:val="center"/>
        <w:rPr>
          <w:b/>
          <w:b/>
        </w:rPr>
      </w:pPr>
      <w:r>
        <w:rPr>
          <w:b/>
        </w:rPr>
        <w:t>w sprawie ustalenia ryczałtowej stawki opłaty za gospodarowanie odpadami komunalnymi za rok od domku letniskowego lub od innej nieruchomości wykorzystywanej na cele rekreacyjno-wypoczynkowe jedynie przez część roku.</w:t>
      </w:r>
    </w:p>
    <w:p>
      <w:pPr>
        <w:pStyle w:val="Normal"/>
        <w:rPr>
          <w:rFonts w:ascii="Arial" w:hAnsi="Arial" w:cs="Arial"/>
          <w:b/>
          <w:b/>
          <w:sz w:val="20"/>
          <w:szCs w:val="20"/>
        </w:rPr>
      </w:pPr>
      <w:r>
        <w:rPr>
          <w:rFonts w:cs="Arial" w:ascii="Arial" w:hAnsi="Arial"/>
          <w:b/>
          <w:sz w:val="20"/>
          <w:szCs w:val="20"/>
        </w:rPr>
      </w:r>
    </w:p>
    <w:p>
      <w:pPr>
        <w:pStyle w:val="Normal"/>
        <w:rPr>
          <w:rFonts w:ascii="Arial" w:hAnsi="Arial" w:cs="Arial"/>
          <w:sz w:val="20"/>
          <w:szCs w:val="20"/>
        </w:rPr>
      </w:pPr>
      <w:r>
        <w:rPr>
          <w:rFonts w:cs="Arial" w:ascii="Arial" w:hAnsi="Arial"/>
          <w:sz w:val="20"/>
          <w:szCs w:val="20"/>
        </w:rPr>
      </w:r>
    </w:p>
    <w:p>
      <w:pPr>
        <w:pStyle w:val="Normal"/>
        <w:jc w:val="both"/>
        <w:rPr/>
      </w:pPr>
      <w:r>
        <w:rPr/>
        <w:t xml:space="preserve">Na podstawie art. 6j ust. 3b oraz art. 6k ust. 3 ustawy z dnia 13 września 1996 r. </w:t>
        <w:br/>
        <w:t>o utrzymaniu czystości i porządku w gminach (t. j. Dz. U. z 2020 r., poz. 1439) oraz art. 18 ust. 2 pkt 15, art. 40 ust. 1, art. 41 ust. 1 i art. 42 ustawy z dnia 8 marca 1990 r. samorządzie gminnym (t. j. Dz. U. z 2020 r., poz. 713) -Rada Gminy Kamieniec Ząbkowicki uchwala, co następuje:</w:t>
      </w:r>
    </w:p>
    <w:p>
      <w:pPr>
        <w:pStyle w:val="Normal"/>
        <w:jc w:val="both"/>
        <w:rPr>
          <w:rFonts w:ascii="Arial" w:hAnsi="Arial" w:cs="Arial"/>
        </w:rPr>
      </w:pPr>
      <w:r>
        <w:rPr>
          <w:rFonts w:cs="Arial" w:ascii="Arial" w:hAnsi="Arial"/>
        </w:rPr>
      </w:r>
    </w:p>
    <w:p>
      <w:pPr>
        <w:pStyle w:val="Normal"/>
        <w:jc w:val="both"/>
        <w:rPr/>
      </w:pPr>
      <w:r>
        <w:rPr>
          <w:b/>
        </w:rPr>
        <w:t>§1.</w:t>
      </w:r>
      <w:r>
        <w:rPr/>
        <w:t xml:space="preserve"> Ustala się opłatę za gospodarowanie odpadami komunalnymi odebranymi i zagospodarowanymi z nieruchomości, na których znajdują się domki letniskowe lub innych nieruchomości wykorzystywanych na cele rekreacyjno-wypoczynkowe jedynie przez część roku, która stanowi ryczałtową stawkę roczną.</w:t>
      </w:r>
    </w:p>
    <w:p>
      <w:pPr>
        <w:pStyle w:val="Normal"/>
        <w:rPr/>
      </w:pPr>
      <w:r>
        <w:rPr/>
      </w:r>
    </w:p>
    <w:p>
      <w:pPr>
        <w:pStyle w:val="Normal"/>
        <w:jc w:val="both"/>
        <w:rPr/>
      </w:pPr>
      <w:r>
        <w:rPr>
          <w:b/>
        </w:rPr>
        <w:t>§2.</w:t>
      </w:r>
      <w:r>
        <w:rPr/>
        <w:t xml:space="preserve">  Ustala   się   ryczałtową   stawkę   za   gospodarowanie   odpadami   komunalnymi  dla nieruchomości   na  których   znajdują   się   domki  letniskowe  lub   inne   nieruchomości wykorzystywane  na cele rekreacyjno-wypoczynkowe jedynie przez część roku w wysokości 169,00 zł rocznie.</w:t>
      </w:r>
    </w:p>
    <w:p>
      <w:pPr>
        <w:pStyle w:val="Normal"/>
        <w:rPr/>
      </w:pPr>
      <w:r>
        <w:rPr/>
      </w:r>
    </w:p>
    <w:p>
      <w:pPr>
        <w:pStyle w:val="Normal"/>
        <w:jc w:val="both"/>
        <w:rPr/>
      </w:pPr>
      <w:r>
        <w:rPr>
          <w:b/>
        </w:rPr>
        <w:t>§3.</w:t>
      </w:r>
      <w:r>
        <w:rPr/>
        <w:t xml:space="preserve">  W przypadku, gdy na danej nieruchomości znajduje się kilka domków letniskowych lub innych nieruchomości wykorzystywanych na cele rekreacyjno-wypoczynkowe jedynie </w:t>
        <w:br/>
        <w:t xml:space="preserve">przez część roku, ryczałtowa opłata roczna za gospodarowanie odpadami </w:t>
        <w:br/>
        <w:t>komunalnymi stanowi iloczyn liczby tych obiektów i stawki określonej w § 2 lub § 4.</w:t>
        <w:br/>
      </w:r>
    </w:p>
    <w:p>
      <w:pPr>
        <w:pStyle w:val="Normal"/>
        <w:jc w:val="both"/>
        <w:rPr/>
      </w:pPr>
      <w:r>
        <w:rPr>
          <w:b/>
        </w:rPr>
        <w:t xml:space="preserve">§4. </w:t>
      </w:r>
      <w:r>
        <w:rPr/>
        <w:t xml:space="preserve">Ustala się ryczałtową stawkę za gospodarowanie odpadami komunalnymi dla nieruchomości na których znajdują się domki letniskowe lub inne nieruchomości wykorzystywane na cele rekreacyjno-wypoczynkowe jedynie przez część roku, jeżeli właściciel nieruchomości nie wypełnia obowiązku zbierania odpadów w sposób </w:t>
        <w:br/>
        <w:t xml:space="preserve">selektywny, w wysokości 338,00 zł rocznie za jeden domek lub inną nieruchomość </w:t>
        <w:br/>
        <w:t>wykorzystywaną na cele rekreacyjno- wypoczynkowe jedynie przez część roku.</w:t>
        <w:br/>
      </w:r>
    </w:p>
    <w:p>
      <w:pPr>
        <w:pStyle w:val="Normal"/>
        <w:rPr/>
      </w:pPr>
      <w:r>
        <w:rPr>
          <w:b/>
        </w:rPr>
        <w:t xml:space="preserve">§5. </w:t>
      </w:r>
      <w:r>
        <w:rPr/>
        <w:t xml:space="preserve">Wykonanie uchwały powierza się Wójtowi Gminy Kamieniec Ząbkowicki. </w:t>
        <w:br/>
      </w:r>
    </w:p>
    <w:p>
      <w:pPr>
        <w:pStyle w:val="Normal"/>
        <w:jc w:val="both"/>
        <w:rPr/>
      </w:pPr>
      <w:r>
        <w:rPr>
          <w:b/>
        </w:rPr>
        <w:t>§6</w:t>
      </w:r>
      <w:r>
        <w:rPr/>
        <w:t>.Uchwala wchodzi wżycie po upływie 14 dni od dnia ogłoszenia w Dzienniku</w:t>
        <w:br/>
        <w:t xml:space="preserve">      Urzędowym Województwa Dolnośląskiego z mocą obowiązującą od 1 stycznia 2021 r.</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b/>
          <w:b/>
        </w:rPr>
      </w:pPr>
      <w:r>
        <w:rPr>
          <w:b/>
        </w:rPr>
      </w:r>
    </w:p>
    <w:p>
      <w:pPr>
        <w:pStyle w:val="Normal"/>
        <w:jc w:val="center"/>
        <w:rPr>
          <w:b/>
          <w:b/>
          <w:sz w:val="28"/>
          <w:szCs w:val="28"/>
        </w:rPr>
      </w:pPr>
      <w:r>
        <w:rPr>
          <w:b/>
          <w:sz w:val="28"/>
          <w:szCs w:val="28"/>
        </w:rPr>
        <w:t>Uzasadnienie</w:t>
      </w:r>
    </w:p>
    <w:p>
      <w:pPr>
        <w:pStyle w:val="Normal"/>
        <w:jc w:val="both"/>
        <w:rPr>
          <w:b/>
          <w:b/>
          <w:sz w:val="28"/>
          <w:szCs w:val="28"/>
        </w:rPr>
      </w:pPr>
      <w:r>
        <w:rPr>
          <w:b/>
          <w:sz w:val="28"/>
          <w:szCs w:val="28"/>
        </w:rPr>
      </w:r>
    </w:p>
    <w:p>
      <w:pPr>
        <w:pStyle w:val="Normal"/>
        <w:autoSpaceDE w:val="false"/>
        <w:jc w:val="both"/>
        <w:rPr/>
      </w:pPr>
      <w:r>
        <w:rPr/>
        <w:t xml:space="preserve">Zgodnie z art. 6j ust. 3b  ustawy z dnia 13 września 1996 r. o utrzymaniu czystości  </w:t>
        <w:br/>
        <w:t>i porządku w gminach (t.j. Dz. U. z 2020 r. poz. 1439) ustalono nową ryczałtową opłatę za gospodarowanie odpadami komunalnymi dla właścicieli nieruchomości, na których znajdują się domki letniskowe, lub inne nieruchomości wykorzystywane na cele rekreacyjno – wypoczynkowe. Ustalona ryczałtowa stawka opłaty za gospodarowanie nie jest wyższa niż 10% przeciętnego miesięcznego dochodu rozporządzalnego na 1 osobę ogółem – za rok od nieruchomości, na której znajdują się domki letniskowe, lub od innej nieruchomości wykorzystywanej na cele rekreacyjno – wypoczynkowe (art.6j ust. 3 pkt 3b w/w ustawy).</w:t>
      </w:r>
    </w:p>
    <w:p>
      <w:pPr>
        <w:pStyle w:val="Normal"/>
        <w:jc w:val="both"/>
        <w:rPr>
          <w:b/>
          <w:b/>
        </w:rPr>
      </w:pPr>
      <w:r>
        <w:rPr>
          <w:b/>
        </w:rPr>
      </w:r>
    </w:p>
    <w:p>
      <w:pPr>
        <w:pStyle w:val="Normal"/>
        <w:rPr/>
      </w:pPr>
      <w:r>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13</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b/>
        </w:rPr>
        <w:t xml:space="preserve">UCHWAŁA NR …../…./2020 </w:t>
        <w:br/>
        <w:t>RADY KAMIENIEC ZĄBKOWICKI</w:t>
      </w:r>
    </w:p>
    <w:p>
      <w:pPr>
        <w:pStyle w:val="Normal"/>
        <w:jc w:val="center"/>
        <w:rPr>
          <w:b/>
          <w:b/>
        </w:rPr>
      </w:pPr>
      <w:r>
        <w:rPr>
          <w:b/>
        </w:rPr>
      </w:r>
    </w:p>
    <w:p>
      <w:pPr>
        <w:pStyle w:val="Normal"/>
        <w:jc w:val="center"/>
        <w:rPr/>
      </w:pPr>
      <w:r>
        <w:rPr/>
        <w:t>z dnia ……………………. 2020r.</w:t>
      </w:r>
    </w:p>
    <w:p>
      <w:pPr>
        <w:pStyle w:val="Normal"/>
        <w:rPr/>
      </w:pPr>
      <w:r>
        <w:rPr/>
      </w:r>
    </w:p>
    <w:p>
      <w:pPr>
        <w:pStyle w:val="Normal"/>
        <w:rPr/>
      </w:pPr>
      <w:r>
        <w:rPr/>
      </w:r>
    </w:p>
    <w:p>
      <w:pPr>
        <w:pStyle w:val="Normal"/>
        <w:rPr/>
      </w:pPr>
      <w:r>
        <w:rPr/>
      </w:r>
    </w:p>
    <w:p>
      <w:pPr>
        <w:pStyle w:val="Normal"/>
        <w:jc w:val="center"/>
        <w:rPr>
          <w:b/>
          <w:b/>
        </w:rPr>
      </w:pPr>
      <w:r>
        <w:rPr>
          <w:b/>
        </w:rPr>
        <w:t>w sprawie wyboru metody ustalenia opłaty za gospodarowanie odpadami komunalnymi oraz ustalenia stawki tej opłaty dla nieruchomości, na których zamieszkują mieszkańcy</w:t>
      </w:r>
    </w:p>
    <w:p>
      <w:pPr>
        <w:pStyle w:val="Normal"/>
        <w:jc w:val="center"/>
        <w:rPr>
          <w:b/>
          <w:b/>
        </w:rPr>
      </w:pPr>
      <w:r>
        <w:rPr>
          <w:b/>
        </w:rPr>
      </w:r>
    </w:p>
    <w:p>
      <w:pPr>
        <w:pStyle w:val="Normal"/>
        <w:jc w:val="center"/>
        <w:rPr>
          <w:b/>
          <w:b/>
        </w:rPr>
      </w:pPr>
      <w:r>
        <w:rPr>
          <w:b/>
        </w:rPr>
      </w:r>
    </w:p>
    <w:p>
      <w:pPr>
        <w:pStyle w:val="Default"/>
        <w:jc w:val="both"/>
        <w:rPr/>
      </w:pPr>
      <w:r>
        <w:rPr/>
        <w:t xml:space="preserve">Na podstawie art.18 ust. 2 pkt 15 w związku z art. 40 ust. 1 i art. 41 ust. 1 ustawy </w:t>
        <w:br/>
        <w:t>z 8 marca 1990 r. o samorządzie gminnym (t.j. Dz. U. z 2020 r., poz. 713) oraz art. 6j ust.  pkt 1, 2a i 3b i art. 6k ust.1 pkt 1 i 2, ust. 2 i ust. 2a pkt 1 i ust. 3, art. 6k ust. 4a ustawy z dnia 13 września 1996 r. o utrzymaniu czystości  i porządku w gminach (t.j. Dz. U. z 2020 r. poz. 1439)  Rada Gminy Kamieniec Ząbkowicki uchwala, co następuje:</w:t>
      </w:r>
    </w:p>
    <w:p>
      <w:pPr>
        <w:pStyle w:val="Normal"/>
        <w:rPr>
          <w:b/>
          <w:b/>
        </w:rPr>
      </w:pPr>
      <w:r>
        <w:rPr>
          <w:b/>
        </w:rPr>
      </w:r>
    </w:p>
    <w:p>
      <w:pPr>
        <w:pStyle w:val="Normal"/>
        <w:jc w:val="both"/>
        <w:rPr/>
      </w:pPr>
      <w:r>
        <w:rPr>
          <w:b/>
        </w:rPr>
        <w:t>§1.</w:t>
      </w:r>
      <w:r>
        <w:rPr/>
        <w:t>1</w:t>
      </w:r>
      <w:r>
        <w:rPr>
          <w:b/>
        </w:rPr>
        <w:t xml:space="preserve"> </w:t>
      </w:r>
      <w:r>
        <w:rPr/>
        <w:t>Dokonuje się wyboru metody ustalenia opłaty za gospodarowanie odpadami komunalnymi w taki sposób, że w przypadku nieruchomości, na której zamieszkują mieszkańcy, opłata za gospodarowanie odpadami komunalnymi stanowi iloczyn liczby mieszkańców zamieszkujących daną nieruchomość oraz ustalonej stawki opłaty.</w:t>
      </w:r>
    </w:p>
    <w:p>
      <w:pPr>
        <w:pStyle w:val="Normal"/>
        <w:jc w:val="both"/>
        <w:rPr/>
      </w:pPr>
      <w:r>
        <w:rPr/>
      </w:r>
    </w:p>
    <w:p>
      <w:pPr>
        <w:pStyle w:val="Normal"/>
        <w:jc w:val="both"/>
        <w:rPr/>
      </w:pPr>
      <w:r>
        <w:rPr>
          <w:b/>
        </w:rPr>
        <w:t xml:space="preserve">     </w:t>
      </w:r>
      <w:r>
        <w:rPr/>
        <w:t xml:space="preserve">2. Ustala się stawkę opłaty za gospodarowanie odpadami komunalnymi, o której mowa </w:t>
        <w:br/>
        <w:t xml:space="preserve">w ust. 1, jeżeli odpady komunalne są zbierane i odbierane w sposób selektywny w wysokości </w:t>
      </w:r>
      <w:r>
        <w:rPr>
          <w:b/>
        </w:rPr>
        <w:t>18,00 zł</w:t>
      </w:r>
      <w:r>
        <w:rPr/>
        <w:t xml:space="preserve"> (słownie: piętnaście złotych) miesięcznie od każdego mieszkańca zamieszkującego daną nieruchomość.</w:t>
      </w:r>
    </w:p>
    <w:p>
      <w:pPr>
        <w:pStyle w:val="Normal"/>
        <w:rPr/>
      </w:pPr>
      <w:r>
        <w:rPr/>
      </w:r>
    </w:p>
    <w:p>
      <w:pPr>
        <w:pStyle w:val="Normal"/>
        <w:jc w:val="both"/>
        <w:rPr/>
      </w:pPr>
      <w:r>
        <w:rPr>
          <w:b/>
        </w:rPr>
        <w:t xml:space="preserve">     </w:t>
      </w:r>
      <w:r>
        <w:rPr/>
        <w:t>3.</w:t>
      </w:r>
      <w:r>
        <w:rPr>
          <w:b/>
        </w:rPr>
        <w:t xml:space="preserve"> </w:t>
      </w:r>
      <w:r>
        <w:rPr/>
        <w:t xml:space="preserve">Ustala się stawkę opłaty podwyższonej za gospodarowanie odpadami komunalnymi, jeżeli właściciel nieruchomości nie wypełnia obowiązku zbierania odpadów komunalnych </w:t>
        <w:br/>
        <w:t>w sposób selektywny w wysokości 36,00 zł od mieszkańca miesięcznie stanowiącej dwukrotność stawki o której mowa w ust. 2.</w:t>
      </w:r>
    </w:p>
    <w:p>
      <w:pPr>
        <w:pStyle w:val="Normal"/>
        <w:jc w:val="both"/>
        <w:rPr/>
      </w:pPr>
      <w:r>
        <w:rPr/>
      </w:r>
    </w:p>
    <w:p>
      <w:pPr>
        <w:pStyle w:val="Normal"/>
        <w:jc w:val="both"/>
        <w:rPr/>
      </w:pPr>
      <w:r>
        <w:rPr>
          <w:b/>
        </w:rPr>
        <w:t xml:space="preserve">§2. </w:t>
      </w:r>
      <w:r>
        <w:rPr/>
        <w:t>Uchyla się uchwałę Nr XIII/105/2019 Rady Gminy Kamieniec Ząbkowicki  z  dnia  28 listopada 2019 r. w  sprawie  wyboru  metody  ustalenia  opłaty  za gospodarowanie odpadami komunalnymi, ustalenia stawki tej opłaty dla nieruchomości, na których zamieszkują mieszańcy oraz uchwałę Nr XIV/119/2019 Rady Gminy Kamieniec Ząbkowicki z dnia 30 grudnia 2019 r. o zmianie uchwały w sprawie wyboru  metody  ustalenia  opłaty  za gospodarowanie odpadami komunalnymi, ustalenia stawki tej opłaty dla nieruchomości, na których zamieszkują mieszańcy.</w:t>
      </w:r>
    </w:p>
    <w:p>
      <w:pPr>
        <w:pStyle w:val="Normal"/>
        <w:jc w:val="both"/>
        <w:rPr/>
      </w:pPr>
      <w:r>
        <w:rPr/>
      </w:r>
    </w:p>
    <w:p>
      <w:pPr>
        <w:pStyle w:val="Normal"/>
        <w:rPr/>
      </w:pPr>
      <w:r>
        <w:rPr>
          <w:b/>
        </w:rPr>
        <w:t>§3</w:t>
      </w:r>
      <w:r>
        <w:rPr/>
        <w:t>. Wykonanie uchwały powierza się Wójtowi Gminy Kamieniec Ząbkowicki.</w:t>
      </w:r>
    </w:p>
    <w:p>
      <w:pPr>
        <w:pStyle w:val="Normal"/>
        <w:rPr/>
      </w:pPr>
      <w:r>
        <w:rPr/>
      </w:r>
    </w:p>
    <w:p>
      <w:pPr>
        <w:pStyle w:val="Normal"/>
        <w:jc w:val="both"/>
        <w:rPr/>
      </w:pPr>
      <w:r>
        <w:rPr>
          <w:b/>
        </w:rPr>
        <w:t>§4</w:t>
      </w:r>
      <w:r>
        <w:rPr/>
        <w:t xml:space="preserve">. Uchwała  wchodzi  w  życie  po  upływie  14 dni  od  ogłoszenia  w  Dzienniku     </w:t>
      </w:r>
    </w:p>
    <w:p>
      <w:pPr>
        <w:pStyle w:val="Normal"/>
        <w:jc w:val="both"/>
        <w:rPr/>
      </w:pPr>
      <w:r>
        <w:rPr/>
        <w:t xml:space="preserve">      </w:t>
      </w:r>
      <w:r>
        <w:rPr/>
        <w:t xml:space="preserve">Urzędowym Województwa Dolnośląskiego, z mocą obowiązującą od  1 stycznia 2021 r.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autoSpaceDE w:val="false"/>
        <w:rPr/>
      </w:pPr>
      <w:r>
        <w:rPr/>
      </w:r>
    </w:p>
    <w:p>
      <w:pPr>
        <w:pStyle w:val="Normal"/>
        <w:autoSpaceDE w:val="false"/>
        <w:rPr>
          <w:rFonts w:ascii="TimesNewRomanPSMT;Arial" w:hAnsi="TimesNewRomanPSMT;Arial" w:cs="TimesNewRomanPSMT;Arial"/>
          <w:b/>
          <w:b/>
          <w:sz w:val="22"/>
          <w:szCs w:val="22"/>
        </w:rPr>
      </w:pPr>
      <w:r>
        <w:rPr>
          <w:rFonts w:cs="TimesNewRomanPSMT;Arial" w:ascii="TimesNewRomanPSMT;Arial" w:hAnsi="TimesNewRomanPSMT;Arial"/>
          <w:b/>
          <w:sz w:val="22"/>
          <w:szCs w:val="22"/>
        </w:rPr>
      </w:r>
    </w:p>
    <w:p>
      <w:pPr>
        <w:pStyle w:val="Normal"/>
        <w:autoSpaceDE w:val="false"/>
        <w:jc w:val="center"/>
        <w:rPr>
          <w:b/>
          <w:b/>
        </w:rPr>
      </w:pPr>
      <w:r>
        <w:rPr>
          <w:b/>
        </w:rPr>
        <w:t>UZASADNIENIE</w:t>
      </w:r>
    </w:p>
    <w:p>
      <w:pPr>
        <w:pStyle w:val="Normal"/>
        <w:autoSpaceDE w:val="false"/>
        <w:jc w:val="both"/>
        <w:rPr>
          <w:b/>
          <w:b/>
        </w:rPr>
      </w:pPr>
      <w:r>
        <w:rPr>
          <w:b/>
        </w:rPr>
      </w:r>
    </w:p>
    <w:p>
      <w:pPr>
        <w:pStyle w:val="Normal"/>
        <w:autoSpaceDE w:val="false"/>
        <w:rPr/>
      </w:pPr>
      <w:r>
        <w:rPr/>
        <w:t xml:space="preserve">Zgodnie  z art. 6k ust. 2 pkt 3  Ustawy  z dnia 13 września 1996 r. o  utrzymaniu  czystości  </w:t>
        <w:br/>
        <w:t xml:space="preserve">i porządku w gminach  (t.j. Dz. U. z 2020 r. poz. 1439) Rada  Gminy określając  stawki opłaty zagospodarowanie odpadami komunalnymi bierze pod uwagę koszty funkcjonowania systemu gospodarowania odpadami komunalnymi, o których mowa w art. 6r ust. 2 2b i 2d i są to koszty: </w:t>
        <w:br/>
      </w:r>
    </w:p>
    <w:p>
      <w:pPr>
        <w:pStyle w:val="Normal"/>
        <w:autoSpaceDE w:val="false"/>
        <w:rPr/>
      </w:pPr>
      <w:r>
        <w:rPr/>
        <w:t xml:space="preserve">1) odbierania, transportu, zbierania, odzysku i unieszkodliwiania odpadów komunalnych; </w:t>
        <w:br/>
        <w:t xml:space="preserve">2) tworzenia i utrzymania punktów selektywnego zbierania odpadów komunalnych; </w:t>
        <w:br/>
        <w:t xml:space="preserve">3) obsługi administracyjnej tego systemu; </w:t>
        <w:br/>
        <w:t xml:space="preserve">4) edukacji ekologicznej w zakresie prawidłowego postępowania z odpadami komunalnymi. </w:t>
        <w:br/>
        <w:t xml:space="preserve">5) wyposażenia nieruchomości w pojemniki lub worki do zbierania odpadów komunalnych    </w:t>
        <w:br/>
        <w:t xml:space="preserve">    oraz koszty utrzymywania pojemników w odpowiednim stanie sanitarnym, porządkowym </w:t>
        <w:br/>
        <w:t xml:space="preserve">    i technicznym; </w:t>
        <w:br/>
        <w:t xml:space="preserve">6) usunięcia odpadów komunalnych z miejsc nie przeznaczonych do ich składowania </w:t>
        <w:br/>
        <w:t xml:space="preserve">    i magazynowania w rozumieniu ustawy z dnia 14 grudnia 2012 r. o odpadach. </w:t>
        <w:br/>
        <w:t>7) pozbywania się przez właścicieli nieruchomości wszystkich rodzajów odpadów</w:t>
        <w:br/>
        <w:t xml:space="preserve">    komunalnych, przy czym rozumie się przez to odbieranie odpadów z terenu  </w:t>
        <w:br/>
        <w:t xml:space="preserve">    nieruchomości na których zamieszkują mieszkańcy, przyjmowanie odpadów przez punkty</w:t>
        <w:br/>
        <w:t xml:space="preserve">    selektywnego zbierania odpadów  komunalnych oraz zapewnianie przyjmowania tych</w:t>
        <w:br/>
        <w:t xml:space="preserve">    odpadów przez gminę w inny sposób.</w:t>
      </w:r>
    </w:p>
    <w:p>
      <w:pPr>
        <w:pStyle w:val="Normal"/>
        <w:autoSpaceDE w:val="false"/>
        <w:rPr/>
      </w:pPr>
      <w:r>
        <w:rPr/>
      </w:r>
    </w:p>
    <w:p>
      <w:pPr>
        <w:pStyle w:val="Normal"/>
        <w:autoSpaceDE w:val="false"/>
        <w:jc w:val="both"/>
        <w:rPr/>
      </w:pPr>
      <w:r>
        <w:rPr/>
        <w:t>Ustawodawca wskazał na konieczność ustanowienia zasad segregacji odpadów komunalnych przez wszystkich mieszkańców. Podyktowane jest to również koniecznością osiągnięcia właściwych limitów odzysku odpadów w przyszłych latach. Dlatego też uznaje się za konieczne zmiany dotychczasowej wysokości opłaty za gospodarowanie odpadami komunalnymi. Wprowadzenie powyższych uregulowań pozwoli również na przygotowanie mieszkańców do zapowiadanych zmian w prawie krajowym, które są zdecydowanie bardziej restrykcyjne i przewidują czterokrotność stawki za brak selektywnej zbiórki od proponowanych do wprowadzenia na terenie Gminy Kamieniec Ząbkowicki. Ich wprowadzenie wydaje się przesądzone ze względu na konieczność uzyskania przez Polskę poziomu 50% odpadów wykorzystanych w recyclingu, pod groźbą nałożenia wysokich kar pieniężnych.</w:t>
      </w:r>
    </w:p>
    <w:p>
      <w:pPr>
        <w:pStyle w:val="Normal"/>
        <w:jc w:val="both"/>
        <w:rPr/>
      </w:pPr>
      <w:r>
        <w:rPr/>
      </w:r>
    </w:p>
    <w:p>
      <w:pPr>
        <w:pStyle w:val="Normal"/>
        <w:jc w:val="both"/>
        <w:rPr/>
      </w:pPr>
      <w:r>
        <w:rPr/>
        <w:t xml:space="preserve">W oparciu o art. 6k ust. 1 pkt 1 i 2 ustawy z dnia 13 września 1996 r. o utrzymaniu czystości </w:t>
        <w:br/>
        <w:t xml:space="preserve">i porządku w gminach, Rada Gminy dokonuje wyboru metody ustalenia opłaty zagospodarowanie odpadami komunalnymi spośród metod określonych w art. 6j ust. 1 i 2 ustawy i ustala stawkę takiej opłaty. W związku z wejściem w życie powszechnego obowiązku segregacji, wysokość stawki opłaty podstawowej dla właścicieli nieruchomości zamieszkałych proponuje się ustalić na 18 zł za 1 osobę .W obecnej sytuacji Rada Gminy zobowiązana jest określić stawki opłaty podwyższonej, jeżeli właściciel nieruchomości nie wypełnia obowiązku zbierania odpadów komunalnych w sposób selektywny. Wysokość stawki opłaty podwyższonej powinna być nie niższa niż dwukrotna wysokość i nie wyższa niż czterokrotna wysokość stawki podstawowej. </w:t>
      </w:r>
    </w:p>
    <w:p>
      <w:pPr>
        <w:pStyle w:val="Normal"/>
        <w:jc w:val="both"/>
        <w:rPr/>
      </w:pPr>
      <w:r>
        <w:rPr/>
      </w:r>
    </w:p>
    <w:p>
      <w:pPr>
        <w:pStyle w:val="Normal"/>
        <w:jc w:val="both"/>
        <w:rPr/>
      </w:pPr>
      <w:r>
        <w:rPr/>
        <w:t>Z przeprowadzonej kalkulacji kosztów i wpływów (opłaty zagospodarowanie odpadami komunalnymi) wynika, że zaproponowana stawka podstawowa opłaty zagospodarowanie odpadami komunalnymi pozwoli na sfinansowanie kosztów poniesionych na odbiór odpadów jak i zagospodarowanie odpadów w Instalacji w Domaszowicach – Nysa. Istotną przyczyną wzrostu opłat pobieranych od mieszkańców gmin stały się rosnące koszty – zwłaszcza te występujące w instalacjach (wzrost kosztów zagospodarowania frakcji palnej, kosztów korzystania ze  składowisk,  a także  zagospodarowywania  odpadów zebranych selektywnie). W ramach wnoszonych opłat mieszkańcy mogą oddawać na PSZOK odpady segregowane, odpady wielkogabarytowe, odpady budowlane, elektro odpady, odpady ze styropianu opakowaniowego, akumulatory i baterie, drewno, zużyte opony. Zatem wypełniony jest obowiązek ustawowa zawarty w art. 6r ust. 2d ustawy o utrzymaniu czystości i porządku  w gminach, zgodnie z którą, w zamian za pobraną opłatę za gospodarowanie odpadami komunalnymi gmina zapewnia właścicielom nieruchomości pozbywanie się wszystkich rodzajów odpadów komunalnych, przy czym rozumie się przez to odbieranie odpadów  z terenu nieruchomości, o których mowa w art. 6c ust. 1 i 2, przyjmowanie odpadów przez punkty selektywnego zbierania odpadów komunalnych oraz zapewnianie przyjmowania tych odpadów przez gminę w inny sposób. Należy zauważyć również, że odpady segregowane (worek żółty, zielony, niebieski,) oraz bioodpady (worek brązowy) i popiół (worek szary) są odbierane z nieruchomości jednorodzinnych w workach o odpowiedniej pojemności</w:t>
        <w:br/>
        <w:t>i wytrzymałości, dostarczanych przez realizującego odbiór i zagospodarowanie odpadów komunalnych, również w ramach wnoszonej przez mieszkańców opłaty. Mając powyższe na uwadze, przyjęcie przedmiotowej uchwały jest uzasadnione.</w:t>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14</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b/>
        </w:rPr>
        <w:t>UCHWAŁA NR …../…./2020</w:t>
        <w:br/>
        <w:t>RADY KAMIENIEC ZĄBKOWICKI</w:t>
      </w:r>
    </w:p>
    <w:p>
      <w:pPr>
        <w:pStyle w:val="Normal"/>
        <w:jc w:val="center"/>
        <w:rPr>
          <w:b/>
          <w:b/>
        </w:rPr>
      </w:pPr>
      <w:r>
        <w:rPr>
          <w:b/>
        </w:rPr>
      </w:r>
    </w:p>
    <w:p>
      <w:pPr>
        <w:pStyle w:val="Normal"/>
        <w:jc w:val="center"/>
        <w:rPr/>
      </w:pPr>
      <w:r>
        <w:rPr/>
        <w:t>z dnia ……………………. 2020 r.</w:t>
      </w:r>
    </w:p>
    <w:p>
      <w:pPr>
        <w:pStyle w:val="Normal"/>
        <w:rPr/>
      </w:pPr>
      <w:r>
        <w:rPr/>
      </w:r>
    </w:p>
    <w:p>
      <w:pPr>
        <w:pStyle w:val="Normal"/>
        <w:rPr/>
      </w:pPr>
      <w:r>
        <w:rPr/>
      </w:r>
    </w:p>
    <w:p>
      <w:pPr>
        <w:pStyle w:val="Normal"/>
        <w:jc w:val="center"/>
        <w:rPr>
          <w:b/>
          <w:b/>
        </w:rPr>
      </w:pPr>
      <w:r>
        <w:rPr>
          <w:b/>
        </w:rPr>
        <w:t xml:space="preserve">w sprawie zwolnienie w części z opłaty za gospodarowanie odpadami komunalnymi </w:t>
      </w:r>
    </w:p>
    <w:p>
      <w:pPr>
        <w:pStyle w:val="Normal"/>
        <w:jc w:val="center"/>
        <w:rPr>
          <w:b/>
          <w:b/>
        </w:rPr>
      </w:pPr>
      <w:r>
        <w:rPr>
          <w:b/>
        </w:rPr>
      </w:r>
    </w:p>
    <w:p>
      <w:pPr>
        <w:pStyle w:val="Default"/>
        <w:jc w:val="both"/>
        <w:rPr>
          <w:b/>
          <w:b/>
          <w:color w:val="000000"/>
        </w:rPr>
      </w:pPr>
      <w:r>
        <w:rPr>
          <w:b/>
          <w:color w:val="000000"/>
        </w:rPr>
      </w:r>
    </w:p>
    <w:p>
      <w:pPr>
        <w:pStyle w:val="Default"/>
        <w:jc w:val="both"/>
        <w:rPr/>
      </w:pPr>
      <w:r>
        <w:rPr/>
        <w:t>Na podstawie art.18 ust. 2 pkt 15 i art.40 ust. 1 ustawy z 8 marca 1990 r. o samorządzie gminnym (t.j. Dz. U. z 2020 r., poz. 713) oraz art. 6k ust. 4a  ustawy z dnia 13 września 1996 r. o utrzymaniu czystości  i porządku w gminach (t.j. Dz. U. z 2020 r. poz. 1439) Rada Gminy Kamieniec Ząbkowicki uchwala, co następuje:</w:t>
      </w:r>
    </w:p>
    <w:p>
      <w:pPr>
        <w:pStyle w:val="Default"/>
        <w:tabs>
          <w:tab w:val="clear" w:pos="708"/>
          <w:tab w:val="left" w:pos="8280" w:leader="none"/>
        </w:tabs>
        <w:jc w:val="both"/>
        <w:rPr/>
      </w:pPr>
      <w:r>
        <w:rPr/>
        <w:tab/>
      </w:r>
    </w:p>
    <w:p>
      <w:pPr>
        <w:pStyle w:val="Normal"/>
        <w:jc w:val="both"/>
        <w:rPr>
          <w:b/>
          <w:b/>
        </w:rPr>
      </w:pPr>
      <w:r>
        <w:rPr>
          <w:b/>
        </w:rPr>
      </w:r>
    </w:p>
    <w:p>
      <w:pPr>
        <w:pStyle w:val="Normal"/>
        <w:jc w:val="both"/>
        <w:rPr/>
      </w:pPr>
      <w:r>
        <w:rPr>
          <w:b/>
        </w:rPr>
        <w:t>§1.</w:t>
      </w:r>
      <w:r>
        <w:rPr/>
        <w:t xml:space="preserve"> Zwalnia się w części z opłaty za gospodarowanie odpadami komunalnymi właścicieli nieruchomości zabudowanych budynkami mieszkalnymi jednorodzinnymi kompostujących bioodpady stanowiące odpady komunalne w kompostowniku przydomowym.</w:t>
      </w:r>
    </w:p>
    <w:p>
      <w:pPr>
        <w:pStyle w:val="Normal"/>
        <w:jc w:val="both"/>
        <w:rPr/>
      </w:pPr>
      <w:r>
        <w:rPr/>
      </w:r>
    </w:p>
    <w:p>
      <w:pPr>
        <w:pStyle w:val="Normal"/>
        <w:jc w:val="both"/>
        <w:rPr/>
      </w:pPr>
      <w:r>
        <w:rPr>
          <w:b/>
        </w:rPr>
        <w:t>§2.</w:t>
      </w:r>
      <w:r>
        <w:rPr/>
        <w:t xml:space="preserve"> Ustala się częściowe zwolnienie z opłaty za gospodarowanie odpadami komunalnymi właścicieli nieruchomości, o których mowa w §1, w wysokości </w:t>
      </w:r>
      <w:r>
        <w:rPr>
          <w:b/>
        </w:rPr>
        <w:t>3,00 zł</w:t>
      </w:r>
      <w:r>
        <w:rPr/>
        <w:t xml:space="preserve"> od stawki opłaty za gospodarowanie odpadami komunalnymi.</w:t>
      </w:r>
    </w:p>
    <w:p>
      <w:pPr>
        <w:pStyle w:val="Normal"/>
        <w:rPr/>
      </w:pPr>
      <w:r>
        <w:rPr/>
      </w:r>
    </w:p>
    <w:p>
      <w:pPr>
        <w:pStyle w:val="Normal"/>
        <w:rPr/>
      </w:pPr>
      <w:r>
        <w:rPr>
          <w:b/>
        </w:rPr>
        <w:t>§3</w:t>
      </w:r>
      <w:r>
        <w:rPr/>
        <w:t>. Wykonanie uchwały powierza się Wójtowi Gminy Kamieniec Ząbkowicki.</w:t>
      </w:r>
    </w:p>
    <w:p>
      <w:pPr>
        <w:pStyle w:val="Normal"/>
        <w:rPr/>
      </w:pPr>
      <w:r>
        <w:rPr/>
      </w:r>
    </w:p>
    <w:p>
      <w:pPr>
        <w:pStyle w:val="Normal"/>
        <w:jc w:val="both"/>
        <w:rPr/>
      </w:pPr>
      <w:r>
        <w:rPr>
          <w:b/>
        </w:rPr>
        <w:t xml:space="preserve">§4. </w:t>
      </w:r>
      <w:r>
        <w:rPr/>
        <w:t xml:space="preserve">Uchyla się uchwałę Nr XIII/108/2019 Rady Gminy Kamieniec Ząbkowicki z dnia 28 listopada 2019 r. w sprawie zwolnienie w części z opłaty za gospodarowanie odpadami komunalnymi. </w:t>
      </w:r>
    </w:p>
    <w:p>
      <w:pPr>
        <w:pStyle w:val="Normal"/>
        <w:rPr/>
      </w:pPr>
      <w:r>
        <w:rPr/>
      </w:r>
    </w:p>
    <w:p>
      <w:pPr>
        <w:pStyle w:val="Normal"/>
        <w:jc w:val="both"/>
        <w:rPr/>
      </w:pPr>
      <w:r>
        <w:rPr>
          <w:b/>
        </w:rPr>
        <w:t>§5</w:t>
      </w:r>
      <w:r>
        <w:rPr/>
        <w:t>. Uchwała  wchodzi  w  życie  po  upływie  14 dni  od  ogłoszenia  w  Dzienniku     Urzędowym Województwa Dolnośląskiego, z mocą obowiązującą od 1 stycznia 2021 r.</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rPr>
      </w:pPr>
      <w:r>
        <w:rPr>
          <w:b/>
        </w:rPr>
        <w:t>UZASADNIENIE</w:t>
      </w:r>
    </w:p>
    <w:p>
      <w:pPr>
        <w:pStyle w:val="Normal"/>
        <w:rPr>
          <w:b/>
          <w:b/>
        </w:rPr>
      </w:pPr>
      <w:r>
        <w:rPr>
          <w:b/>
        </w:rPr>
      </w:r>
    </w:p>
    <w:p>
      <w:pPr>
        <w:pStyle w:val="Normal"/>
        <w:autoSpaceDE w:val="false"/>
        <w:jc w:val="both"/>
        <w:rPr/>
      </w:pPr>
      <w:r>
        <w:rPr/>
        <w:t xml:space="preserve">Zgodnie z art. 6k ust. 4a  ustawy z dnia 13 września 1996 r. o utrzymaniu czystości  </w:t>
        <w:br/>
        <w:t xml:space="preserve">i porządku w gminach (t.j. Dz. U. z 2020 r. poz. 1439) Rada Gminy, w drodze uchwały, zwalnia w części z opłaty za gospodarowanie odpadami komunalnymi właścicieli nieruchomości zabudowanych budynkami mieszkalnymi jednorodzinnymi kompostujących bioodpady stanowiące odpady komunalne w kompostowniku przydomowym, proporcjonalnie do zmniejszenia kosztów gospodarowania odpadami komunalnymi z gospodarstw domowych. </w:t>
      </w:r>
    </w:p>
    <w:p>
      <w:pPr>
        <w:pStyle w:val="Normal"/>
        <w:rPr/>
      </w:pPr>
      <w:r>
        <w:rPr/>
      </w:r>
    </w:p>
    <w:p>
      <w:pPr>
        <w:pStyle w:val="Normal"/>
        <w:rPr/>
      </w:pPr>
      <w:r>
        <w:rPr/>
      </w:r>
    </w:p>
    <w:p>
      <w:pPr>
        <w:pStyle w:val="Normal"/>
        <w:rPr/>
      </w:pPr>
      <w:r>
        <w:rPr/>
      </w:r>
    </w:p>
    <w:p>
      <w:pPr>
        <w:pStyle w:val="Normal"/>
        <w:rPr/>
      </w:pPr>
      <w:r>
        <w:rPr/>
      </w:r>
    </w:p>
    <w:p>
      <w:pPr>
        <w:pStyle w:val="Normal"/>
        <w:rPr/>
      </w:pPr>
      <w:r>
        <w:rPr/>
      </w:r>
    </w:p>
    <w:p>
      <w:pPr>
        <w:sectPr>
          <w:type w:val="nextPage"/>
          <w:pgSz w:w="11906" w:h="16838"/>
          <w:pgMar w:left="1418" w:right="1418" w:header="720" w:top="851" w:footer="720" w:bottom="851" w:gutter="0"/>
          <w:pgNumType w:fmt="decimal"/>
          <w:formProt w:val="false"/>
          <w:textDirection w:val="lrTb"/>
          <w:docGrid w:type="default" w:linePitch="360" w:charSpace="0"/>
        </w:sectPr>
        <w:pStyle w:val="Normal"/>
        <w:rPr/>
      </w:pPr>
      <w:r>
        <w:rPr/>
      </w:r>
    </w:p>
    <w:p>
      <w:pPr>
        <w:pStyle w:val="Normal"/>
        <w:spacing w:lineRule="auto" w:line="240"/>
        <w:rPr/>
      </w:pPr>
      <w:r>
        <w:rPr>
          <w:sz w:val="18"/>
          <w:szCs w:val="18"/>
        </w:rPr>
        <w:t xml:space="preserve">                                                                                                                            </w:t>
      </w:r>
      <w:r>
        <w:rPr>
          <w:sz w:val="18"/>
          <w:szCs w:val="18"/>
        </w:rPr>
        <w:t xml:space="preserve">Załącznik Nr </w:t>
      </w:r>
      <w:r>
        <w:rPr>
          <w:sz w:val="18"/>
          <w:szCs w:val="18"/>
        </w:rPr>
        <w:t>15</w:t>
      </w:r>
      <w:r>
        <w:rPr>
          <w:sz w:val="18"/>
          <w:szCs w:val="18"/>
        </w:rPr>
        <w:t xml:space="preserve"> do Zarządzenia Nr  </w:t>
      </w:r>
      <w:r>
        <w:rPr>
          <w:sz w:val="18"/>
          <w:szCs w:val="18"/>
        </w:rPr>
        <w:t>379/2020</w:t>
      </w:r>
    </w:p>
    <w:p>
      <w:pPr>
        <w:pStyle w:val="Normal"/>
        <w:spacing w:lineRule="auto" w:line="240"/>
        <w:rPr/>
      </w:pPr>
      <w:r>
        <w:rPr>
          <w:sz w:val="18"/>
          <w:szCs w:val="18"/>
        </w:rPr>
        <w:t xml:space="preserve">                                                                                                                            </w:t>
      </w:r>
      <w:r>
        <w:rPr>
          <w:sz w:val="18"/>
          <w:szCs w:val="18"/>
        </w:rPr>
        <w:t xml:space="preserve">Wójta Gminy Kamieniec Ząbkowicki </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sz w:val="18"/>
          <w:szCs w:val="18"/>
        </w:rPr>
        <w:t xml:space="preserve">                                                                                        </w:t>
      </w:r>
      <w:r>
        <w:rPr>
          <w:sz w:val="18"/>
          <w:szCs w:val="18"/>
        </w:rPr>
        <w:t>z dnia 3 listopada 2020 r.</w:t>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b/>
          <w:b/>
          <w:sz w:val="18"/>
          <w:szCs w:val="18"/>
        </w:rPr>
      </w:pPr>
      <w:r>
        <w:rPr/>
      </w:r>
    </w:p>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autoSpaceDE w:val="false"/>
        <w:spacing w:lineRule="auto" w:line="240"/>
        <w:jc w:val="center"/>
        <w:rPr/>
      </w:pPr>
      <w:r>
        <w:rPr>
          <w:b/>
          <w:sz w:val="22"/>
          <w:szCs w:val="22"/>
        </w:rPr>
        <w:t>UCHWAŁA NR …../…./2020</w:t>
        <w:br/>
        <w:t>RADY KAMIENIEC ZĄBKOWICKI</w:t>
      </w:r>
    </w:p>
    <w:p>
      <w:pPr>
        <w:pStyle w:val="Normal"/>
        <w:jc w:val="center"/>
        <w:rPr/>
      </w:pPr>
      <w:r>
        <w:rPr/>
        <w:t>z dnia ……………………. 2020 r.</w:t>
      </w:r>
    </w:p>
    <w:p>
      <w:pPr>
        <w:pStyle w:val="Normal"/>
        <w:jc w:val="center"/>
        <w:rPr/>
      </w:pPr>
      <w:r>
        <w:rPr/>
      </w:r>
    </w:p>
    <w:p>
      <w:pPr>
        <w:pStyle w:val="Normal"/>
        <w:jc w:val="center"/>
        <w:rPr/>
      </w:pPr>
      <w:r>
        <w:rPr>
          <w:b/>
        </w:rPr>
        <w:t>w sprawie określenia wzoru deklaracji o wysokości opłaty za gospodarowanie odpadami komunalnymi, składanej przez właścicieli nieruchomości, na których znajdują się domki letniskowe lub inne nieruchomości wykorzystywane na cele rekreacyjno-wypoczynkowe jedynie przez część roku</w:t>
      </w:r>
    </w:p>
    <w:p>
      <w:pPr>
        <w:pStyle w:val="Normal"/>
        <w:jc w:val="center"/>
        <w:rPr>
          <w:b/>
          <w:b/>
        </w:rPr>
      </w:pPr>
      <w:r>
        <w:rPr>
          <w:b/>
        </w:rPr>
      </w:r>
    </w:p>
    <w:p>
      <w:pPr>
        <w:pStyle w:val="Normal"/>
        <w:jc w:val="both"/>
        <w:rPr/>
      </w:pPr>
      <w:r>
        <w:rPr/>
        <w:t xml:space="preserve">Na podstawie art. 18 ust. 2 pkt 15 i art. 40 ust. 1, art. 41 ust. 1 ustawy z dnia 8 marca 1990 r. </w:t>
        <w:br/>
        <w:t xml:space="preserve">o samorządzie gminnym (Dz. U. z 2020 r. poz. 713) oraz art. 6m, art. 6n ust. 1 i 2 ustawy </w:t>
        <w:br/>
        <w:t>z dnia 13 września 1996 r. o utrzymaniu czystości i porządku w gminach (Dz. U. z 2020 r. poz. 1439) - Rada Gminy Kamieniec Ząbkowicki uchwala, co następuje:</w:t>
      </w:r>
    </w:p>
    <w:p>
      <w:pPr>
        <w:pStyle w:val="Normal"/>
        <w:jc w:val="both"/>
        <w:rPr/>
      </w:pPr>
      <w:r>
        <w:rPr/>
      </w:r>
    </w:p>
    <w:p>
      <w:pPr>
        <w:pStyle w:val="Normal"/>
        <w:jc w:val="both"/>
        <w:rPr/>
      </w:pPr>
      <w:r>
        <w:rPr>
          <w:b/>
        </w:rPr>
        <w:t xml:space="preserve">§ 1. </w:t>
      </w:r>
      <w:r>
        <w:rPr/>
        <w:t xml:space="preserve">1. Określa się wzór deklaracji o wysokości opłaty za gospodarowanie odpadami komunalnymi, składanej przez właścicieli nieruchomości, na których znajdują się </w:t>
        <w:br/>
        <w:t>domki letniskowe lub inne nieruchomości wykorzystywane na cele rekreacyjno-</w:t>
        <w:br/>
        <w:t>wypoczynkowe jedynie przez część roku – stanowiący załącznik nr 1 do niniejszej uchwały.</w:t>
      </w:r>
    </w:p>
    <w:p>
      <w:pPr>
        <w:pStyle w:val="Normal"/>
        <w:rPr/>
      </w:pPr>
      <w:r>
        <w:rPr>
          <w:b/>
        </w:rPr>
        <w:t>2</w:t>
      </w:r>
      <w:r>
        <w:rPr/>
        <w:t>. Deklaracje należy złożyć w Urzędzie Gminy Kamieniec Ząbkowicki:</w:t>
      </w:r>
    </w:p>
    <w:p>
      <w:pPr>
        <w:pStyle w:val="Normal"/>
        <w:jc w:val="both"/>
        <w:rPr/>
      </w:pPr>
      <w:r>
        <w:rPr/>
        <w:t>1) osobiście lub pocztą;</w:t>
      </w:r>
    </w:p>
    <w:p>
      <w:pPr>
        <w:pStyle w:val="Normal"/>
        <w:jc w:val="both"/>
        <w:rPr/>
      </w:pPr>
      <w:r>
        <w:rPr/>
        <w:t>2) w formie elektronicznej za pomocą Elektronicznej Platformy Usług Administracji Publicznej e-PUAP.</w:t>
      </w:r>
    </w:p>
    <w:p>
      <w:pPr>
        <w:pStyle w:val="Normal"/>
        <w:jc w:val="both"/>
        <w:rPr/>
      </w:pPr>
      <w:r>
        <w:rPr/>
      </w:r>
    </w:p>
    <w:p>
      <w:pPr>
        <w:pStyle w:val="Normal"/>
        <w:jc w:val="both"/>
        <w:rPr/>
      </w:pPr>
      <w:r>
        <w:rPr>
          <w:b/>
        </w:rPr>
        <w:t xml:space="preserve">§ 2. </w:t>
      </w:r>
      <w:r>
        <w:rPr/>
        <w:t xml:space="preserve">1. Warunkiem złożenia deklaracji za pomocą środków komunikacji elektronicznej jest posiadanie kwalifikowanego podpisu elektronicznego lub profilu zaufanego na platformie </w:t>
        <w:br/>
        <w:t>e-PUAP (po uprzednim założeniu konta na platformie e-PUAP skąd można przesłać wniosek w formie elektronicznej.</w:t>
      </w:r>
    </w:p>
    <w:p>
      <w:pPr>
        <w:pStyle w:val="Normal"/>
        <w:jc w:val="both"/>
        <w:rPr/>
      </w:pPr>
      <w:r>
        <w:rPr/>
        <w:t>2. Wymagania dla deklaracji dostarczanych do Urzędu w formie dokumentu elektronicznego:</w:t>
        <w:br/>
        <w:t>1) deklaracja musi być podpisana ważnym, kwalifikowanym podpisem elektronicznym lub profilem zaufanym,</w:t>
      </w:r>
    </w:p>
    <w:p>
      <w:pPr>
        <w:pStyle w:val="Normal"/>
        <w:rPr/>
      </w:pPr>
      <w:r>
        <w:rPr/>
        <w:t>2) akceptowalne formaty załączników to:</w:t>
        <w:br/>
        <w:t>a) DOC, DOCX, RTF,;</w:t>
        <w:br/>
        <w:t>b) GIF, TIF, BMP, JPG;</w:t>
        <w:br/>
        <w:t>c) PDF;</w:t>
        <w:br/>
        <w:t>3. Wymagania dla deklaracji dostarczanych do Urzędu za pomocą środków komunikacji elektronicznej: przekazanie dokumentu następuje poprzez wypełnienie formularza stanowiącego załącznik nr 1 do uchwały i załączenie deklaracji jako załącznika na stronie Elektronicznej Platformy Usług Administracji Publicznej http://www.epuap.gov.pl .</w:t>
      </w:r>
    </w:p>
    <w:p>
      <w:pPr>
        <w:pStyle w:val="Normal"/>
        <w:jc w:val="both"/>
        <w:rPr/>
      </w:pPr>
      <w:r>
        <w:rPr>
          <w:b/>
        </w:rPr>
        <w:t>§ 3</w:t>
      </w:r>
      <w:r>
        <w:rPr/>
        <w:t xml:space="preserve">. 1. Deklaracja o wysokości opłaty za gospodarowanie odpadami komunalnymi, o których mowa w § 1 niniejszej uchwały, właściciele nieruchomości położonych na terenie </w:t>
        <w:br/>
        <w:t xml:space="preserve">gminy Kamieniec Ząbkowicki  obowiązani są złożyć do Wójta Gminy Kamieniec </w:t>
        <w:br/>
        <w:t>Ząbkowicki w terminie 14 dni od dnia zamieszkania na danej nieruchomości pierwszego mieszkańca lub powstania na danej nieruchomości odpadów komunalnych.</w:t>
      </w:r>
    </w:p>
    <w:p>
      <w:pPr>
        <w:pStyle w:val="Normal"/>
        <w:jc w:val="both"/>
        <w:rPr/>
      </w:pPr>
      <w:r>
        <w:rPr/>
        <w:t>2. W przypadku  zmiany  danych  będących  podstawą  ustalenia  wysokości należnej opłaty za  gospodarowanie  odpadami  komunalnymi  lub  określonej  w  deklaracji ilości odpadów komunalnych  powstających  na   danej  nieruchomości,  właściciel   nieruchomości   jest obowiązany  złożyć  nową  deklarację  w  terminie do 10 dnia  miesiąca  następującego  po miesiącu, w  którym  nastąpiła  zmiana.</w:t>
      </w:r>
    </w:p>
    <w:p>
      <w:pPr>
        <w:pStyle w:val="Normal"/>
        <w:jc w:val="both"/>
        <w:rPr/>
      </w:pPr>
      <w:r>
        <w:rPr/>
        <w:br/>
      </w:r>
    </w:p>
    <w:p>
      <w:pPr>
        <w:pStyle w:val="Normal"/>
        <w:rPr/>
      </w:pPr>
      <w:r>
        <w:rPr>
          <w:b/>
        </w:rPr>
        <w:t>§ 4</w:t>
      </w:r>
      <w:r>
        <w:rPr/>
        <w:t xml:space="preserve">. Wykonanie uchwały powierza się Wójtowi Gminy Kamieniec Ząbkowicki. </w:t>
        <w:br/>
        <w:br/>
      </w:r>
      <w:r>
        <w:rPr>
          <w:b/>
        </w:rPr>
        <w:t>§ 5</w:t>
      </w:r>
      <w:r>
        <w:rPr/>
        <w:t xml:space="preserve">. Uchwała  wchodzi  w życie  po  upływie 14  dni  od dnia  jej  ogłoszenia  w  Dzienniku Urzędowym Województwa Dolnośląskiego z mocą obowiązującą od 1 stycznia 2021 r.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autoSpaceDE w:val="false"/>
        <w:jc w:val="center"/>
        <w:rPr>
          <w:b/>
          <w:b/>
        </w:rPr>
      </w:pPr>
      <w:r>
        <w:rPr>
          <w:b/>
        </w:rPr>
        <w:t>UZASADNIENIE</w:t>
      </w:r>
    </w:p>
    <w:p>
      <w:pPr>
        <w:pStyle w:val="Normal"/>
        <w:autoSpaceDE w:val="false"/>
        <w:jc w:val="center"/>
        <w:rPr>
          <w:b/>
          <w:b/>
        </w:rPr>
      </w:pPr>
      <w:r>
        <w:rPr>
          <w:b/>
        </w:rPr>
      </w:r>
    </w:p>
    <w:p>
      <w:pPr>
        <w:pStyle w:val="Normal"/>
        <w:jc w:val="both"/>
        <w:rPr/>
      </w:pPr>
      <w:r>
        <w:rPr/>
        <w:t xml:space="preserve">       </w:t>
      </w:r>
      <w:r>
        <w:rPr/>
        <w:t xml:space="preserve">Zgodnie z oraz art. 6n ustawy z dnia 13 września 1996 r. o utrzymaniu czystości </w:t>
        <w:br/>
        <w:t xml:space="preserve">i porządku w gminach (t.j. Dz. U. z 2020 r. poz. 1439) gmina, uwzględniając konieczność zapewnienia prawidłowego obliczenia wysokości opłaty za gospodarowanie odpadami komunalnymi, określi w drodze uchwały stanowiącej akt prawa miejscowego, wzór deklaracji o wysokości opłaty za gospodarowanie odpadami komunalnymi składanej przez właściciela nieruchomości na których znajdują się domki letniskowe lub inne nieruchomości wykorzystywane na cele rekreacyjno-wypoczynkowe jedynie przez część roku. Uchwała zawiera informacji o terminach i miejscach składania deklaracji, objaśnienia dotyczące sposobu jej wypełnienia oraz pouczenie wraz z klauzurą informacyjną RODO.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ectPr>
      <w:type w:val="nextPage"/>
      <w:pgSz w:w="11906" w:h="16838"/>
      <w:pgMar w:left="1418" w:right="1418" w:header="720" w:top="851" w:footer="72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mbria">
    <w:charset w:val="ee"/>
    <w:family w:val="roman"/>
    <w:pitch w:val="variable"/>
  </w:font>
  <w:font w:name="Arial">
    <w:charset w:val="ee"/>
    <w:family w:val="roman"/>
    <w:pitch w:val="variable"/>
  </w:font>
  <w:font w:name="Tahoma">
    <w:charset w:val="ee"/>
    <w:family w:val="roman"/>
    <w:pitch w:val="variable"/>
  </w:font>
  <w:font w:name="Courier New">
    <w:charset w:val="ee"/>
    <w:family w:val="roman"/>
    <w:pitch w:val="variable"/>
  </w:font>
  <w:font w:name="Liberation Sans">
    <w:altName w:val="Arial"/>
    <w:charset w:val="ee"/>
    <w:family w:val="swiss"/>
    <w:pitch w:val="variable"/>
  </w:font>
  <w:font w:name="Tahoma">
    <w:charset w:val="ee"/>
    <w:family w:val="swiss"/>
    <w:pitch w:val="variable"/>
  </w:font>
  <w:font w:name="Arial">
    <w:charset w:val="ee"/>
    <w:family w:val="swiss"/>
    <w:pitch w:val="variable"/>
  </w:font>
  <w:font w:name="Times New Roman">
    <w:charset w:val="01"/>
    <w:family w:val="roman"/>
    <w:pitch w:val="variable"/>
  </w:font>
  <w:font w:name="TimesNewRomanPSMT">
    <w:altName w:val="Arial"/>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57" w:hanging="357"/>
      </w:pPr>
      <w:rPr>
        <w:dstrike w:val="false"/>
        <w:strike w:val="false"/>
        <w:sz w:val="24"/>
        <w:i w:val="false"/>
        <w:u w:val="none"/>
        <w:b w:val="false"/>
        <w:szCs w:val="24"/>
        <w:iCs w:val="false"/>
        <w:bCs w:val="false"/>
        <w:rFonts w:ascii="Times New Roman" w:hAnsi="Times New Roman" w:cs="Times New Roman"/>
        <w:color w:val="000000"/>
      </w:rPr>
    </w:lvl>
    <w:lvl w:ilvl="1">
      <w:start w:val="1"/>
      <w:numFmt w:val="decimal"/>
      <w:lvlText w:val="%2)"/>
      <w:lvlJc w:val="left"/>
      <w:pPr>
        <w:ind w:left="717" w:hanging="357"/>
      </w:pPr>
      <w:rPr>
        <w:dstrike w:val="false"/>
        <w:strike w:val="false"/>
        <w:sz w:val="24"/>
        <w:i w:val="false"/>
        <w:u w:val="none"/>
        <w:b w:val="false"/>
        <w:szCs w:val="24"/>
        <w:iCs w:val="false"/>
        <w:bCs w:val="false"/>
        <w:rFonts w:ascii="Times New Roman" w:hAnsi="Times New Roman" w:cs="Times New Roman"/>
        <w:color w:val="000000"/>
      </w:rPr>
    </w:lvl>
    <w:lvl w:ilvl="2">
      <w:start w:val="1"/>
      <w:numFmt w:val="decimal"/>
      <w:lvlText w:val="%3)"/>
      <w:lvlJc w:val="left"/>
      <w:pPr>
        <w:ind w:left="1077" w:hanging="357"/>
      </w:pPr>
      <w:rPr>
        <w:dstrike w:val="false"/>
        <w:strike w:val="false"/>
        <w:sz w:val="24"/>
        <w:i w:val="false"/>
        <w:u w:val="none"/>
        <w:b w:val="false"/>
        <w:szCs w:val="24"/>
        <w:iCs w:val="false"/>
        <w:bCs w:val="false"/>
        <w:rFonts w:ascii="Times New Roman" w:hAnsi="Times New Roman" w:cs="Times New Roman"/>
        <w:color w:val="000000"/>
      </w:rPr>
    </w:lvl>
    <w:lvl w:ilvl="3">
      <w:start w:val="1"/>
      <w:numFmt w:val="decimal"/>
      <w:lvlText w:val="%4)"/>
      <w:lvlJc w:val="left"/>
      <w:pPr>
        <w:ind w:left="1437" w:hanging="357"/>
      </w:pPr>
      <w:rPr>
        <w:dstrike w:val="false"/>
        <w:strike w:val="false"/>
        <w:sz w:val="24"/>
        <w:i w:val="false"/>
        <w:u w:val="none"/>
        <w:b w:val="false"/>
        <w:szCs w:val="24"/>
        <w:iCs w:val="false"/>
        <w:bCs w:val="false"/>
        <w:rFonts w:ascii="Times New Roman" w:hAnsi="Times New Roman" w:cs="Times New Roman"/>
        <w:color w:val="000000"/>
      </w:rPr>
    </w:lvl>
    <w:lvl w:ilvl="4">
      <w:start w:val="1"/>
      <w:numFmt w:val="decimal"/>
      <w:lvlText w:val="%5)"/>
      <w:lvlJc w:val="left"/>
      <w:pPr>
        <w:ind w:left="1797" w:hanging="357"/>
      </w:pPr>
      <w:rPr>
        <w:dstrike w:val="false"/>
        <w:strike w:val="false"/>
        <w:sz w:val="24"/>
        <w:i w:val="false"/>
        <w:u w:val="none"/>
        <w:b w:val="false"/>
        <w:szCs w:val="24"/>
        <w:iCs w:val="false"/>
        <w:bCs w:val="false"/>
        <w:rFonts w:ascii="Times New Roman" w:hAnsi="Times New Roman" w:cs="Times New Roman"/>
        <w:color w:val="000000"/>
      </w:rPr>
    </w:lvl>
    <w:lvl w:ilvl="5">
      <w:start w:val="1"/>
      <w:numFmt w:val="decimal"/>
      <w:lvlText w:val="%6)"/>
      <w:lvlJc w:val="left"/>
      <w:pPr>
        <w:ind w:left="2157" w:hanging="357"/>
      </w:pPr>
      <w:rPr>
        <w:dstrike w:val="false"/>
        <w:strike w:val="false"/>
        <w:sz w:val="24"/>
        <w:i w:val="false"/>
        <w:u w:val="none"/>
        <w:b w:val="false"/>
        <w:szCs w:val="24"/>
        <w:iCs w:val="false"/>
        <w:bCs w:val="false"/>
        <w:rFonts w:ascii="Times New Roman" w:hAnsi="Times New Roman" w:cs="Times New Roman"/>
        <w:color w:val="000000"/>
      </w:rPr>
    </w:lvl>
    <w:lvl w:ilvl="6">
      <w:start w:val="1"/>
      <w:numFmt w:val="decimal"/>
      <w:lvlText w:val="%7)"/>
      <w:lvlJc w:val="left"/>
      <w:pPr>
        <w:ind w:left="2517" w:hanging="357"/>
      </w:pPr>
      <w:rPr>
        <w:dstrike w:val="false"/>
        <w:strike w:val="false"/>
        <w:sz w:val="24"/>
        <w:i w:val="false"/>
        <w:u w:val="none"/>
        <w:b w:val="false"/>
        <w:szCs w:val="24"/>
        <w:iCs w:val="false"/>
        <w:bCs w:val="false"/>
        <w:rFonts w:ascii="Times New Roman" w:hAnsi="Times New Roman" w:cs="Times New Roman"/>
        <w:color w:val="000000"/>
      </w:rPr>
    </w:lvl>
    <w:lvl w:ilvl="7">
      <w:start w:val="1"/>
      <w:numFmt w:val="decimal"/>
      <w:lvlText w:val="%8)"/>
      <w:lvlJc w:val="left"/>
      <w:pPr>
        <w:ind w:left="2877" w:hanging="357"/>
      </w:pPr>
      <w:rPr>
        <w:dstrike w:val="false"/>
        <w:strike w:val="false"/>
        <w:sz w:val="24"/>
        <w:i w:val="false"/>
        <w:u w:val="none"/>
        <w:b w:val="false"/>
        <w:szCs w:val="24"/>
        <w:iCs w:val="false"/>
        <w:bCs w:val="false"/>
        <w:rFonts w:ascii="Times New Roman" w:hAnsi="Times New Roman" w:cs="Times New Roman"/>
        <w:color w:val="000000"/>
      </w:rPr>
    </w:lvl>
    <w:lvl w:ilvl="8">
      <w:start w:val="1"/>
      <w:numFmt w:val="decimal"/>
      <w:lvlText w:val="%9)"/>
      <w:lvlJc w:val="left"/>
      <w:pPr>
        <w:ind w:left="3237" w:hanging="357"/>
      </w:pPr>
      <w:rPr>
        <w:dstrike w:val="false"/>
        <w:strike w:val="false"/>
        <w:sz w:val="24"/>
        <w:i w:val="false"/>
        <w:u w:val="none"/>
        <w:b w:val="false"/>
        <w:szCs w:val="24"/>
        <w:iCs w:val="false"/>
        <w:bCs w:val="false"/>
        <w:rFonts w:ascii="Times New Roman" w:hAnsi="Times New Roman" w:cs="Times New Roman"/>
        <w:color w:val="000000"/>
      </w:rPr>
    </w:lvl>
  </w:abstractNum>
  <w:abstractNum w:abstractNumId="2">
    <w:lvl w:ilvl="0">
      <w:start w:val="1"/>
      <w:numFmt w:val="decimal"/>
      <w:lvlText w:val="%1."/>
      <w:lvlJc w:val="left"/>
      <w:pPr>
        <w:tabs>
          <w:tab w:val="num" w:pos="720"/>
        </w:tabs>
        <w:ind w:left="720" w:hanging="360"/>
      </w:pPr>
      <w:rPr/>
    </w:lvl>
  </w:abstractNum>
  <w:abstractNum w:abstractNumId="3">
    <w:lvl w:ilvl="0">
      <w:start w:val="1"/>
      <w:numFmt w:val="decimal"/>
      <w:lvlText w:val="%1."/>
      <w:lvlJc w:val="left"/>
      <w:pPr>
        <w:tabs>
          <w:tab w:val="num" w:pos="750"/>
        </w:tabs>
        <w:ind w:left="750" w:hanging="390"/>
      </w:pPr>
      <w:rPr>
        <w:sz w:val="26"/>
        <w:szCs w:val="26"/>
      </w:rPr>
    </w:lvl>
    <w:lvl w:ilvl="1">
      <w:start w:val="1"/>
      <w:numFmt w:val="lowerLetter"/>
      <w:lvlText w:val="%2)"/>
      <w:lvlJc w:val="left"/>
      <w:pPr>
        <w:tabs>
          <w:tab w:val="num" w:pos="1440"/>
        </w:tabs>
        <w:ind w:left="1440" w:hanging="360"/>
      </w:pPr>
      <w:rPr>
        <w:sz w:val="26"/>
        <w:szCs w:val="26"/>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735"/>
        </w:tabs>
        <w:ind w:left="735" w:hanging="375"/>
      </w:pPr>
      <w:rPr>
        <w:sz w:val="26"/>
        <w:szCs w:val="26"/>
      </w:rPr>
    </w:lvl>
  </w:abstractNum>
  <w:abstractNum w:abstractNumId="5">
    <w:lvl w:ilvl="0">
      <w:start w:val="1"/>
      <w:numFmt w:val="decimal"/>
      <w:lvlText w:val="%1)"/>
      <w:lvlJc w:val="left"/>
      <w:pPr>
        <w:tabs>
          <w:tab w:val="num" w:pos="645"/>
        </w:tabs>
        <w:ind w:left="645" w:hanging="360"/>
      </w:pPr>
      <w:rPr>
        <w:rFonts w:ascii="Times New Roman" w:hAnsi="Times New Roman" w:eastAsia="Times New Roman" w:cs="Times New Roman"/>
      </w:rPr>
    </w:lvl>
  </w:abstractNum>
  <w:abstractNum w:abstractNumId="6">
    <w:lvl w:ilvl="0">
      <w:start w:val="1"/>
      <w:numFmt w:val="lowerLetter"/>
      <w:lvlText w:val="%1)"/>
      <w:lvlJc w:val="left"/>
      <w:pPr>
        <w:tabs>
          <w:tab w:val="num" w:pos="720"/>
        </w:tabs>
        <w:ind w:left="720" w:hanging="360"/>
      </w:pPr>
      <w:rPr>
        <w:sz w:val="22"/>
        <w:szCs w:val="22"/>
      </w:rPr>
    </w:lvl>
  </w:abstractNum>
  <w:abstractNum w:abstractNumId="7">
    <w:lvl w:ilvl="0">
      <w:start w:val="3"/>
      <w:numFmt w:val="decimal"/>
      <w:lvlText w:val="%1)"/>
      <w:lvlJc w:val="left"/>
      <w:pPr>
        <w:tabs>
          <w:tab w:val="num" w:pos="645"/>
        </w:tabs>
        <w:ind w:left="645" w:hanging="360"/>
      </w:pPr>
      <w:rPr>
        <w:sz w:val="22"/>
        <w:szCs w:val="22"/>
      </w:rPr>
    </w:lvl>
  </w:abstractNum>
  <w:abstractNum w:abstractNumId="8">
    <w:lvl w:ilvl="0">
      <w:start w:val="1"/>
      <w:numFmt w:val="decimal"/>
      <w:lvlText w:val="%1)"/>
      <w:lvlJc w:val="left"/>
      <w:pPr>
        <w:tabs>
          <w:tab w:val="num" w:pos="720"/>
        </w:tabs>
        <w:ind w:left="720" w:hanging="360"/>
      </w:pPr>
      <w:rPr>
        <w:sz w:val="22"/>
        <w:szCs w:val="22"/>
        <w:rFonts w:ascii="Times New Roman" w:hAnsi="Times New Roman" w:eastAsia="Times New Roman" w:cs="Times New Roman"/>
      </w:rPr>
    </w:lvl>
  </w:abstractNum>
  <w:abstractNum w:abstractNumId="9">
    <w:lvl w:ilvl="0">
      <w:start w:val="1"/>
      <w:numFmt w:val="decimal"/>
      <w:lvlText w:val="%1)"/>
      <w:lvlJc w:val="left"/>
      <w:pPr>
        <w:ind w:left="720" w:hanging="360"/>
      </w:pPr>
      <w:rPr>
        <w:rFonts w:ascii="Times New Roman" w:hAnsi="Times New Roman" w:cs="Times New Roman"/>
      </w:rPr>
    </w:lvl>
  </w:abstractNum>
  <w:abstractNum w:abstractNumId="10">
    <w:lvl w:ilvl="0">
      <w:start w:val="1"/>
      <w:numFmt w:val="lowerLetter"/>
      <w:lvlText w:val="%1)"/>
      <w:lvlJc w:val="left"/>
      <w:pPr>
        <w:ind w:left="1080" w:hanging="360"/>
      </w:pPr>
      <w:rPr>
        <w:rFonts w:ascii="Times New Roman" w:hAnsi="Times New Roman" w:cs="Times New Roman"/>
      </w:rPr>
    </w:lvl>
  </w:abstractNum>
  <w:abstractNum w:abstractNumId="11">
    <w:lvl w:ilvl="0">
      <w:start w:val="1"/>
      <w:numFmt w:val="lowerLetter"/>
      <w:lvlText w:val="%1)"/>
      <w:lvlJc w:val="left"/>
      <w:pPr>
        <w:ind w:left="1080" w:hanging="360"/>
      </w:pPr>
      <w:rPr>
        <w:rFonts w:ascii="Times New Roman" w:hAnsi="Times New Roman" w:cs="Times New Roman"/>
      </w:rPr>
    </w:lvl>
  </w:abstractNum>
  <w:abstractNum w:abstractNumId="12">
    <w:lvl w:ilvl="0">
      <w:start w:val="1"/>
      <w:numFmt w:val="lowerLetter"/>
      <w:lvlText w:val="%1)"/>
      <w:lvlJc w:val="left"/>
      <w:pPr>
        <w:ind w:left="1080" w:hanging="360"/>
      </w:pPr>
      <w:rPr>
        <w:rFonts w:ascii="Times New Roman" w:hAnsi="Times New Roman" w:cs="Times New Roman"/>
      </w:rPr>
    </w:lvl>
  </w:abstractNum>
  <w:abstractNum w:abstractNumId="13">
    <w:lvl w:ilvl="0">
      <w:start w:val="1"/>
      <w:numFmt w:val="decimal"/>
      <w:lvlText w:val="%1)"/>
      <w:lvlJc w:val="left"/>
      <w:pPr>
        <w:tabs>
          <w:tab w:val="num" w:pos="720"/>
        </w:tabs>
        <w:ind w:left="720" w:hanging="360"/>
      </w:pPr>
      <w:rPr>
        <w:sz w:val="24"/>
        <w:szCs w:val="24"/>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4">
    <w:lvl w:ilvl="0">
      <w:start w:val="1"/>
      <w:numFmt w:val="decimal"/>
      <w:lvlText w:val="%1)"/>
      <w:lvlJc w:val="left"/>
      <w:pPr>
        <w:tabs>
          <w:tab w:val="num" w:pos="360"/>
        </w:tabs>
        <w:ind w:left="360" w:hanging="360"/>
      </w:pPr>
      <w:rPr>
        <w:sz w:val="24"/>
        <w:szCs w:val="24"/>
      </w:rPr>
    </w:lvl>
  </w:abstractNum>
  <w:abstractNum w:abstractNumId="15">
    <w:lvl w:ilvl="0">
      <w:start w:val="1"/>
      <w:numFmt w:val="decimal"/>
      <w:lvlText w:val="%1)"/>
      <w:lvlJc w:val="left"/>
      <w:pPr>
        <w:tabs>
          <w:tab w:val="num" w:pos="720"/>
        </w:tabs>
        <w:ind w:left="720" w:hanging="360"/>
      </w:pPr>
      <w:rPr>
        <w:sz w:val="24"/>
        <w:szCs w:val="24"/>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sz w:val="24"/>
        <w:szCs w:val="24"/>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6">
    <w:lvl w:ilvl="0">
      <w:start w:val="1"/>
      <w:numFmt w:val="decimal"/>
      <w:lvlText w:val="%1)"/>
      <w:lvlJc w:val="left"/>
      <w:pPr>
        <w:tabs>
          <w:tab w:val="num" w:pos="360"/>
        </w:tabs>
        <w:ind w:left="360" w:hanging="360"/>
      </w:pPr>
      <w:rPr>
        <w:sz w:val="24"/>
        <w:szCs w:val="24"/>
      </w:rPr>
    </w:lvl>
  </w:abstractNum>
  <w:abstractNum w:abstractNumId="17">
    <w:lvl w:ilvl="0">
      <w:start w:val="1"/>
      <w:numFmt w:val="decimal"/>
      <w:lvlText w:val="%1)"/>
      <w:lvlJc w:val="left"/>
      <w:pPr>
        <w:tabs>
          <w:tab w:val="num" w:pos="791"/>
        </w:tabs>
        <w:ind w:left="791" w:hanging="360"/>
      </w:pPr>
      <w:rPr>
        <w:sz w:val="24"/>
        <w:szCs w:val="24"/>
      </w:rPr>
    </w:lvl>
  </w:abstractNum>
  <w:abstractNum w:abstractNumId="18">
    <w:lvl w:ilvl="0">
      <w:start w:val="1"/>
      <w:numFmt w:val="decimal"/>
      <w:lvlText w:val="%1)"/>
      <w:lvlJc w:val="left"/>
      <w:pPr>
        <w:tabs>
          <w:tab w:val="num" w:pos="675"/>
        </w:tabs>
        <w:ind w:left="675" w:hanging="375"/>
      </w:pPr>
      <w:rPr/>
    </w:lvl>
    <w:lvl w:ilvl="1">
      <w:start w:val="1"/>
      <w:numFmt w:val="lowerLetter"/>
      <w:lvlText w:val="%2."/>
      <w:lvlJc w:val="left"/>
      <w:pPr>
        <w:tabs>
          <w:tab w:val="num" w:pos="1380"/>
        </w:tabs>
        <w:ind w:left="1380" w:hanging="360"/>
      </w:pPr>
      <w:rPr/>
    </w:lvl>
    <w:lvl w:ilvl="2">
      <w:start w:val="1"/>
      <w:numFmt w:val="lowerRoman"/>
      <w:lvlText w:val="%3."/>
      <w:lvlJc w:val="right"/>
      <w:pPr>
        <w:tabs>
          <w:tab w:val="num" w:pos="2100"/>
        </w:tabs>
        <w:ind w:left="2100" w:hanging="180"/>
      </w:pPr>
      <w:rPr/>
    </w:lvl>
    <w:lvl w:ilvl="3">
      <w:start w:val="1"/>
      <w:numFmt w:val="decimal"/>
      <w:lvlText w:val="%4."/>
      <w:lvlJc w:val="left"/>
      <w:pPr>
        <w:tabs>
          <w:tab w:val="num" w:pos="2820"/>
        </w:tabs>
        <w:ind w:left="2820" w:hanging="360"/>
      </w:pPr>
      <w:rPr/>
    </w:lvl>
    <w:lvl w:ilvl="4">
      <w:start w:val="1"/>
      <w:numFmt w:val="lowerLetter"/>
      <w:lvlText w:val="%5."/>
      <w:lvlJc w:val="left"/>
      <w:pPr>
        <w:tabs>
          <w:tab w:val="num" w:pos="3540"/>
        </w:tabs>
        <w:ind w:left="3540" w:hanging="360"/>
      </w:pPr>
      <w:rPr/>
    </w:lvl>
    <w:lvl w:ilvl="5">
      <w:start w:val="1"/>
      <w:numFmt w:val="lowerRoman"/>
      <w:lvlText w:val="%6."/>
      <w:lvlJc w:val="right"/>
      <w:pPr>
        <w:tabs>
          <w:tab w:val="num" w:pos="4260"/>
        </w:tabs>
        <w:ind w:left="4260" w:hanging="180"/>
      </w:pPr>
      <w:rPr/>
    </w:lvl>
    <w:lvl w:ilvl="6">
      <w:start w:val="1"/>
      <w:numFmt w:val="decimal"/>
      <w:lvlText w:val="%7."/>
      <w:lvlJc w:val="left"/>
      <w:pPr>
        <w:tabs>
          <w:tab w:val="num" w:pos="4980"/>
        </w:tabs>
        <w:ind w:left="4980" w:hanging="360"/>
      </w:pPr>
      <w:rPr/>
    </w:lvl>
    <w:lvl w:ilvl="7">
      <w:start w:val="1"/>
      <w:numFmt w:val="lowerLetter"/>
      <w:lvlText w:val="%8."/>
      <w:lvlJc w:val="left"/>
      <w:pPr>
        <w:tabs>
          <w:tab w:val="num" w:pos="5700"/>
        </w:tabs>
        <w:ind w:left="5700" w:hanging="360"/>
      </w:pPr>
      <w:rPr/>
    </w:lvl>
    <w:lvl w:ilvl="8">
      <w:start w:val="1"/>
      <w:numFmt w:val="lowerRoman"/>
      <w:lvlText w:val="%9."/>
      <w:lvlJc w:val="right"/>
      <w:pPr>
        <w:tabs>
          <w:tab w:val="num" w:pos="6420"/>
        </w:tabs>
        <w:ind w:left="6420" w:hanging="180"/>
      </w:pPr>
      <w:rPr/>
    </w:lvl>
  </w:abstractNum>
  <w:abstractNum w:abstractNumId="19">
    <w:lvl w:ilvl="0">
      <w:start w:val="1"/>
      <w:numFmt w:val="decimal"/>
      <w:lvlText w:val="%1)"/>
      <w:lvlJc w:val="left"/>
      <w:pPr>
        <w:tabs>
          <w:tab w:val="num" w:pos="675"/>
        </w:tabs>
        <w:ind w:left="675" w:hanging="375"/>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1">
    <w:lvl w:ilvl="0">
      <w:start w:val="1"/>
      <w:numFmt w:val="decimal"/>
      <w:lvlText w:val="%1)"/>
      <w:lvlJc w:val="left"/>
      <w:pPr>
        <w:ind w:left="357" w:hanging="357"/>
      </w:pPr>
      <w:rPr>
        <w:dstrike w:val="false"/>
        <w:strike w:val="false"/>
        <w:sz w:val="24"/>
        <w:i w:val="false"/>
        <w:u w:val="none"/>
        <w:b w:val="false"/>
        <w:szCs w:val="24"/>
        <w:iCs w:val="false"/>
        <w:bCs w:val="false"/>
        <w:rFonts w:ascii="Times New Roman" w:hAnsi="Times New Roman" w:cs="Times New Roman"/>
        <w:color w:val="000000"/>
      </w:rPr>
    </w:lvl>
    <w:lvl w:ilvl="1">
      <w:start w:val="1"/>
      <w:numFmt w:val="decimal"/>
      <w:lvlText w:val="%2)"/>
      <w:lvlJc w:val="left"/>
      <w:pPr>
        <w:ind w:left="717" w:hanging="357"/>
      </w:pPr>
      <w:rPr>
        <w:dstrike w:val="false"/>
        <w:strike w:val="false"/>
        <w:sz w:val="24"/>
        <w:i w:val="false"/>
        <w:u w:val="none"/>
        <w:b w:val="false"/>
        <w:szCs w:val="24"/>
        <w:iCs w:val="false"/>
        <w:bCs w:val="false"/>
        <w:rFonts w:ascii="Times New Roman" w:hAnsi="Times New Roman" w:cs="Times New Roman"/>
        <w:color w:val="000000"/>
      </w:rPr>
    </w:lvl>
    <w:lvl w:ilvl="2">
      <w:start w:val="1"/>
      <w:numFmt w:val="decimal"/>
      <w:lvlText w:val="%3)"/>
      <w:lvlJc w:val="left"/>
      <w:pPr>
        <w:ind w:left="1077" w:hanging="357"/>
      </w:pPr>
      <w:rPr>
        <w:dstrike w:val="false"/>
        <w:strike w:val="false"/>
        <w:sz w:val="24"/>
        <w:i w:val="false"/>
        <w:u w:val="none"/>
        <w:b w:val="false"/>
        <w:szCs w:val="24"/>
        <w:iCs w:val="false"/>
        <w:bCs w:val="false"/>
        <w:rFonts w:ascii="Times New Roman" w:hAnsi="Times New Roman" w:cs="Times New Roman"/>
        <w:color w:val="000000"/>
      </w:rPr>
    </w:lvl>
    <w:lvl w:ilvl="3">
      <w:start w:val="1"/>
      <w:numFmt w:val="decimal"/>
      <w:lvlText w:val="%4)"/>
      <w:lvlJc w:val="left"/>
      <w:pPr>
        <w:ind w:left="1437" w:hanging="357"/>
      </w:pPr>
      <w:rPr>
        <w:dstrike w:val="false"/>
        <w:strike w:val="false"/>
        <w:sz w:val="24"/>
        <w:i w:val="false"/>
        <w:u w:val="none"/>
        <w:b w:val="false"/>
        <w:szCs w:val="24"/>
        <w:iCs w:val="false"/>
        <w:bCs w:val="false"/>
        <w:rFonts w:ascii="Times New Roman" w:hAnsi="Times New Roman" w:cs="Times New Roman"/>
        <w:color w:val="000000"/>
      </w:rPr>
    </w:lvl>
    <w:lvl w:ilvl="4">
      <w:start w:val="1"/>
      <w:numFmt w:val="decimal"/>
      <w:lvlText w:val="%5)"/>
      <w:lvlJc w:val="left"/>
      <w:pPr>
        <w:ind w:left="1797" w:hanging="357"/>
      </w:pPr>
      <w:rPr>
        <w:dstrike w:val="false"/>
        <w:strike w:val="false"/>
        <w:sz w:val="24"/>
        <w:i w:val="false"/>
        <w:u w:val="none"/>
        <w:b w:val="false"/>
        <w:szCs w:val="24"/>
        <w:iCs w:val="false"/>
        <w:bCs w:val="false"/>
        <w:rFonts w:ascii="Times New Roman" w:hAnsi="Times New Roman" w:cs="Times New Roman"/>
        <w:color w:val="000000"/>
      </w:rPr>
    </w:lvl>
    <w:lvl w:ilvl="5">
      <w:start w:val="1"/>
      <w:numFmt w:val="decimal"/>
      <w:lvlText w:val="%6)"/>
      <w:lvlJc w:val="left"/>
      <w:pPr>
        <w:ind w:left="2157" w:hanging="357"/>
      </w:pPr>
      <w:rPr>
        <w:dstrike w:val="false"/>
        <w:strike w:val="false"/>
        <w:sz w:val="24"/>
        <w:i w:val="false"/>
        <w:u w:val="none"/>
        <w:b w:val="false"/>
        <w:szCs w:val="24"/>
        <w:iCs w:val="false"/>
        <w:bCs w:val="false"/>
        <w:rFonts w:ascii="Times New Roman" w:hAnsi="Times New Roman" w:cs="Times New Roman"/>
        <w:color w:val="000000"/>
      </w:rPr>
    </w:lvl>
    <w:lvl w:ilvl="6">
      <w:start w:val="1"/>
      <w:numFmt w:val="decimal"/>
      <w:lvlText w:val="%7)"/>
      <w:lvlJc w:val="left"/>
      <w:pPr>
        <w:ind w:left="2517" w:hanging="357"/>
      </w:pPr>
      <w:rPr>
        <w:dstrike w:val="false"/>
        <w:strike w:val="false"/>
        <w:sz w:val="24"/>
        <w:i w:val="false"/>
        <w:u w:val="none"/>
        <w:b w:val="false"/>
        <w:szCs w:val="24"/>
        <w:iCs w:val="false"/>
        <w:bCs w:val="false"/>
        <w:rFonts w:ascii="Times New Roman" w:hAnsi="Times New Roman" w:cs="Times New Roman"/>
        <w:color w:val="000000"/>
      </w:rPr>
    </w:lvl>
    <w:lvl w:ilvl="7">
      <w:start w:val="1"/>
      <w:numFmt w:val="decimal"/>
      <w:lvlText w:val="%8)"/>
      <w:lvlJc w:val="left"/>
      <w:pPr>
        <w:ind w:left="2877" w:hanging="357"/>
      </w:pPr>
      <w:rPr>
        <w:dstrike w:val="false"/>
        <w:strike w:val="false"/>
        <w:sz w:val="24"/>
        <w:i w:val="false"/>
        <w:u w:val="none"/>
        <w:b w:val="false"/>
        <w:szCs w:val="24"/>
        <w:iCs w:val="false"/>
        <w:bCs w:val="false"/>
        <w:rFonts w:ascii="Times New Roman" w:hAnsi="Times New Roman" w:cs="Times New Roman"/>
        <w:color w:val="000000"/>
      </w:rPr>
    </w:lvl>
    <w:lvl w:ilvl="8">
      <w:start w:val="1"/>
      <w:numFmt w:val="decimal"/>
      <w:lvlText w:val="%9)"/>
      <w:lvlJc w:val="left"/>
      <w:pPr>
        <w:ind w:left="3237" w:hanging="357"/>
      </w:pPr>
      <w:rPr>
        <w:dstrike w:val="false"/>
        <w:strike w:val="false"/>
        <w:sz w:val="24"/>
        <w:i w:val="false"/>
        <w:u w:val="none"/>
        <w:b w:val="false"/>
        <w:szCs w:val="24"/>
        <w:iCs w:val="false"/>
        <w:bCs w:val="false"/>
        <w:rFonts w:ascii="Times New Roman" w:hAnsi="Times New Roman" w:cs="Times New Roman"/>
        <w:color w:val="000000"/>
      </w:rPr>
    </w:lvl>
  </w:abstractNum>
  <w:abstractNum w:abstractNumId="22">
    <w:lvl w:ilvl="0">
      <w:start w:val="1"/>
      <w:numFmt w:val="lowerLetter"/>
      <w:lvlText w:val="%1)"/>
      <w:lvlJc w:val="left"/>
      <w:pPr>
        <w:tabs>
          <w:tab w:val="num" w:pos="720"/>
        </w:tabs>
        <w:ind w:left="720" w:hanging="360"/>
      </w:pPr>
      <w:rPr>
        <w:sz w:val="22"/>
        <w:szCs w:val="22"/>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defaultTabStop w:val="708"/>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pl-PL" w:eastAsia="pl-PL"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39" w:semiHidden="0" w:unhideWhenUsed="0"/>
    <w:lsdException w:name="toc 2" w:locked="1" w:uiPriority="39" w:semiHidden="0" w:unhideWhenUsed="0"/>
    <w:lsdException w:name="toc 3" w:locked="1" w:uiPriority="39" w:semiHidden="0" w:unhideWhenUsed="0"/>
    <w:lsdException w:name="toc 4" w:locked="1" w:uiPriority="39" w:semiHidden="0" w:unhideWhenUsed="0"/>
    <w:lsdException w:name="toc 5" w:locked="1" w:uiPriority="39" w:semiHidden="0" w:unhideWhenUsed="0"/>
    <w:lsdException w:name="toc 6" w:locked="1" w:uiPriority="39" w:semiHidden="0" w:unhideWhenUsed="0"/>
    <w:lsdException w:name="toc 7" w:locked="1" w:uiPriority="39" w:semiHidden="0" w:unhideWhenUsed="0"/>
    <w:lsdException w:name="toc 8" w:locked="1" w:uiPriority="39" w:semiHidden="0" w:unhideWhenUsed="0"/>
    <w:lsdException w:name="toc 9" w:locked="1" w:uiPriority="39" w:semiHidden="0" w:unhideWhenUsed="0"/>
    <w:lsdException w:name="header" w:uiPriority="0"/>
    <w:lsdException w:name="footer" w:uiPriority="0"/>
    <w:lsdException w:name="caption" w:locked="1" w:uiPriority="35" w:qFormat="1"/>
    <w:lsdException w:name="page number" w:uiPriority="0"/>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Subtitle" w:locked="1" w:uiPriority="0" w:semiHidden="0" w:unhideWhenUsed="0" w:qFormat="1"/>
    <w:lsdException w:name="Strong" w:locked="1" w:uiPriority="22" w:semiHidden="0" w:unhideWhenUsed="0" w:qFormat="1"/>
    <w:lsdException w:name="Emphasis" w:locked="1" w:uiPriority="0" w:semiHidden="0" w:unhideWhenUsed="0" w:qFormat="1"/>
    <w:lsdException w:name="Normal (Web)" w:uiPriority="0"/>
    <w:lsdException w:name="HTML Preformatted" w:uiPriority="0"/>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f7c22"/>
    <w:pPr>
      <w:widowControl/>
      <w:bidi w:val="0"/>
      <w:jc w:val="left"/>
    </w:pPr>
    <w:rPr>
      <w:rFonts w:ascii="Times New Roman" w:hAnsi="Times New Roman" w:eastAsia="Times New Roman" w:cs="Times New Roman"/>
      <w:color w:val="auto"/>
      <w:kern w:val="0"/>
      <w:sz w:val="24"/>
      <w:szCs w:val="24"/>
      <w:lang w:val="pl-PL" w:eastAsia="pl-PL" w:bidi="ar-SA"/>
    </w:rPr>
  </w:style>
  <w:style w:type="paragraph" w:styleId="Nagwek1">
    <w:name w:val="Heading 1"/>
    <w:basedOn w:val="Normal"/>
    <w:next w:val="Normal"/>
    <w:link w:val="Nagwek1Znak"/>
    <w:qFormat/>
    <w:rsid w:val="00ff7c22"/>
    <w:pPr>
      <w:keepNext w:val="true"/>
      <w:outlineLvl w:val="0"/>
    </w:pPr>
    <w:rPr>
      <w:sz w:val="28"/>
      <w:szCs w:val="20"/>
    </w:rPr>
  </w:style>
  <w:style w:type="paragraph" w:styleId="Nagwek2">
    <w:name w:val="Heading 2"/>
    <w:basedOn w:val="Normal"/>
    <w:next w:val="Normal"/>
    <w:link w:val="Nagwek2Znak"/>
    <w:semiHidden/>
    <w:unhideWhenUsed/>
    <w:qFormat/>
    <w:locked/>
    <w:rsid w:val="00b41688"/>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Nagwek3">
    <w:name w:val="Heading 3"/>
    <w:basedOn w:val="Normal"/>
    <w:next w:val="Normal"/>
    <w:link w:val="Nagwek3Znak"/>
    <w:uiPriority w:val="99"/>
    <w:qFormat/>
    <w:rsid w:val="001e2ee1"/>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link w:val="Nagwek1"/>
    <w:qFormat/>
    <w:locked/>
    <w:rsid w:val="00ff7c22"/>
    <w:rPr>
      <w:rFonts w:ascii="Times New Roman" w:hAnsi="Times New Roman" w:cs="Times New Roman"/>
      <w:sz w:val="20"/>
      <w:szCs w:val="20"/>
      <w:lang w:eastAsia="pl-PL"/>
    </w:rPr>
  </w:style>
  <w:style w:type="character" w:styleId="Nagwek3Znak" w:customStyle="1">
    <w:name w:val="Nagłówek 3 Znak"/>
    <w:basedOn w:val="DefaultParagraphFont"/>
    <w:link w:val="Nagwek3"/>
    <w:uiPriority w:val="99"/>
    <w:semiHidden/>
    <w:qFormat/>
    <w:locked/>
    <w:rsid w:val="001e2ee1"/>
    <w:rPr>
      <w:rFonts w:ascii="Cambria" w:hAnsi="Cambria" w:cs="Times New Roman"/>
      <w:b/>
      <w:bCs/>
      <w:color w:val="4F81BD"/>
      <w:sz w:val="24"/>
      <w:szCs w:val="24"/>
      <w:lang w:eastAsia="pl-PL"/>
    </w:rPr>
  </w:style>
  <w:style w:type="character" w:styleId="TekstpodstawowyZnak" w:customStyle="1">
    <w:name w:val="Tekst podstawowy Znak"/>
    <w:basedOn w:val="DefaultParagraphFont"/>
    <w:link w:val="Tekstpodstawowy"/>
    <w:uiPriority w:val="99"/>
    <w:qFormat/>
    <w:locked/>
    <w:rsid w:val="00ff7c22"/>
    <w:rPr>
      <w:rFonts w:ascii="Times New Roman" w:hAnsi="Times New Roman" w:cs="Times New Roman"/>
      <w:sz w:val="24"/>
      <w:szCs w:val="24"/>
      <w:lang w:eastAsia="pl-PL"/>
    </w:rPr>
  </w:style>
  <w:style w:type="character" w:styleId="Teksttreci" w:customStyle="1">
    <w:name w:val="Tekst treści_"/>
    <w:link w:val="Teksttreci0"/>
    <w:qFormat/>
    <w:locked/>
    <w:rsid w:val="001e2ee1"/>
    <w:rPr>
      <w:rFonts w:ascii="Arial" w:hAnsi="Arial"/>
      <w:sz w:val="18"/>
      <w:shd w:fill="FFFFFF" w:val="clear"/>
    </w:rPr>
  </w:style>
  <w:style w:type="character" w:styleId="TekstdymkaZnak" w:customStyle="1">
    <w:name w:val="Tekst dymka Znak"/>
    <w:basedOn w:val="DefaultParagraphFont"/>
    <w:link w:val="Tekstdymka"/>
    <w:uiPriority w:val="99"/>
    <w:semiHidden/>
    <w:qFormat/>
    <w:locked/>
    <w:rsid w:val="001e2ee1"/>
    <w:rPr>
      <w:rFonts w:ascii="Tahoma" w:hAnsi="Tahoma" w:cs="Tahoma"/>
      <w:sz w:val="16"/>
      <w:szCs w:val="16"/>
      <w:lang w:eastAsia="pl-PL"/>
    </w:rPr>
  </w:style>
  <w:style w:type="character" w:styleId="Nagwek21" w:customStyle="1">
    <w:name w:val="Nagłówek #2_"/>
    <w:basedOn w:val="DefaultParagraphFont"/>
    <w:link w:val="Nagwek21"/>
    <w:uiPriority w:val="99"/>
    <w:qFormat/>
    <w:locked/>
    <w:rsid w:val="00a009a7"/>
    <w:rPr>
      <w:rFonts w:cs="Times New Roman"/>
      <w:sz w:val="27"/>
      <w:szCs w:val="27"/>
      <w:shd w:fill="FFFFFF" w:val="clear"/>
    </w:rPr>
  </w:style>
  <w:style w:type="character" w:styleId="Oznaczenie" w:customStyle="1">
    <w:name w:val="oznaczenie"/>
    <w:qFormat/>
    <w:rsid w:val="005d4ccb"/>
    <w:rPr/>
  </w:style>
  <w:style w:type="character" w:styleId="Lmenustartend" w:customStyle="1">
    <w:name w:val="lmenustartend"/>
    <w:qFormat/>
    <w:rsid w:val="005d4ccb"/>
    <w:rPr/>
  </w:style>
  <w:style w:type="character" w:styleId="Czeinternetowe">
    <w:name w:val="Łącze internetowe"/>
    <w:basedOn w:val="DefaultParagraphFont"/>
    <w:uiPriority w:val="99"/>
    <w:rsid w:val="00910a27"/>
    <w:rPr>
      <w:rFonts w:cs="Times New Roman"/>
      <w:color w:val="404080"/>
      <w:u w:val="single"/>
    </w:rPr>
  </w:style>
  <w:style w:type="character" w:styleId="TekstprzypisukocowegoZnak" w:customStyle="1">
    <w:name w:val="Tekst przypisu końcowego Znak"/>
    <w:basedOn w:val="DefaultParagraphFont"/>
    <w:link w:val="Tekstprzypisukocowego"/>
    <w:uiPriority w:val="99"/>
    <w:semiHidden/>
    <w:qFormat/>
    <w:locked/>
    <w:rsid w:val="007b295e"/>
    <w:rPr>
      <w:rFonts w:ascii="Times New Roman" w:hAnsi="Times New Roman" w:cs="Times New Roman"/>
      <w:sz w:val="20"/>
      <w:szCs w:val="20"/>
    </w:rPr>
  </w:style>
  <w:style w:type="character" w:styleId="Zakotwiczenieprzypisukocowego">
    <w:name w:val="Zakotwiczenie przypisu końcowego"/>
    <w:rPr>
      <w:rFonts w:cs="Times New Roman"/>
      <w:vertAlign w:val="superscript"/>
    </w:rPr>
  </w:style>
  <w:style w:type="character" w:styleId="EndnoteCharacters">
    <w:name w:val="Endnote Characters"/>
    <w:basedOn w:val="DefaultParagraphFont"/>
    <w:uiPriority w:val="99"/>
    <w:semiHidden/>
    <w:qFormat/>
    <w:rsid w:val="007b65d9"/>
    <w:rPr>
      <w:rFonts w:cs="Times New Roman"/>
      <w:vertAlign w:val="superscript"/>
    </w:rPr>
  </w:style>
  <w:style w:type="character" w:styleId="Wyrnienie">
    <w:name w:val="Wyróżnienie"/>
    <w:basedOn w:val="DefaultParagraphFont"/>
    <w:qFormat/>
    <w:locked/>
    <w:rsid w:val="006d5c6b"/>
    <w:rPr>
      <w:rFonts w:cs="Times New Roman"/>
      <w:i/>
    </w:rPr>
  </w:style>
  <w:style w:type="character" w:styleId="Alb" w:customStyle="1">
    <w:name w:val="a_lb"/>
    <w:uiPriority w:val="99"/>
    <w:qFormat/>
    <w:rsid w:val="006d5c6b"/>
    <w:rPr/>
  </w:style>
  <w:style w:type="character" w:styleId="TeksttreciPogrubienie1" w:customStyle="1">
    <w:name w:val="Tekst treści + Pogrubienie1"/>
    <w:qFormat/>
    <w:rsid w:val="00466ecf"/>
    <w:rPr>
      <w:rFonts w:ascii="Times New Roman" w:hAnsi="Times New Roman"/>
      <w:b/>
      <w:spacing w:val="0"/>
      <w:sz w:val="21"/>
    </w:rPr>
  </w:style>
  <w:style w:type="character" w:styleId="Wyrnieniedelikatne1" w:customStyle="1">
    <w:name w:val="Wyróżnienie delikatne1"/>
    <w:uiPriority w:val="99"/>
    <w:qFormat/>
    <w:rsid w:val="00944001"/>
    <w:rPr>
      <w:i/>
      <w:color w:val="404040"/>
    </w:rPr>
  </w:style>
  <w:style w:type="character" w:styleId="StopkaZnak" w:customStyle="1">
    <w:name w:val="Stopka Znak"/>
    <w:basedOn w:val="DefaultParagraphFont"/>
    <w:link w:val="Stopka"/>
    <w:uiPriority w:val="99"/>
    <w:qFormat/>
    <w:rsid w:val="008970a6"/>
    <w:rPr>
      <w:rFonts w:ascii="Cambria" w:hAnsi="Cambria" w:eastAsia="MS Mincho"/>
      <w:sz w:val="20"/>
      <w:szCs w:val="20"/>
    </w:rPr>
  </w:style>
  <w:style w:type="character" w:styleId="Pagenumber">
    <w:name w:val="page number"/>
    <w:unhideWhenUsed/>
    <w:qFormat/>
    <w:rsid w:val="008970a6"/>
    <w:rPr/>
  </w:style>
  <w:style w:type="character" w:styleId="Appleconvertedspace" w:customStyle="1">
    <w:name w:val="apple-converted-space"/>
    <w:qFormat/>
    <w:rsid w:val="008970a6"/>
    <w:rPr/>
  </w:style>
  <w:style w:type="character" w:styleId="NagwekZnak" w:customStyle="1">
    <w:name w:val="Nagłówek Znak"/>
    <w:basedOn w:val="DefaultParagraphFont"/>
    <w:link w:val="Nagwek"/>
    <w:uiPriority w:val="99"/>
    <w:qFormat/>
    <w:rsid w:val="008970a6"/>
    <w:rPr>
      <w:rFonts w:ascii="Cambria" w:hAnsi="Cambria" w:eastAsia="MS Mincho"/>
      <w:sz w:val="24"/>
      <w:szCs w:val="24"/>
    </w:rPr>
  </w:style>
  <w:style w:type="character" w:styleId="Nagwek2Znak" w:customStyle="1">
    <w:name w:val="Nagłówek 2 Znak"/>
    <w:basedOn w:val="DefaultParagraphFont"/>
    <w:link w:val="Nagwek2"/>
    <w:semiHidden/>
    <w:qFormat/>
    <w:rsid w:val="00b41688"/>
    <w:rPr>
      <w:rFonts w:ascii="Cambria" w:hAnsi="Cambria" w:eastAsia="" w:cs="" w:asciiTheme="majorHAnsi" w:cstheme="majorBidi" w:eastAsiaTheme="majorEastAsia" w:hAnsiTheme="majorHAnsi"/>
      <w:b/>
      <w:bCs/>
      <w:color w:val="4F81BD" w:themeColor="accent1"/>
      <w:sz w:val="26"/>
      <w:szCs w:val="26"/>
    </w:rPr>
  </w:style>
  <w:style w:type="character" w:styleId="Strong">
    <w:name w:val="Strong"/>
    <w:basedOn w:val="DefaultParagraphFont"/>
    <w:uiPriority w:val="22"/>
    <w:qFormat/>
    <w:locked/>
    <w:rsid w:val="00b41688"/>
    <w:rPr>
      <w:b/>
      <w:bCs/>
    </w:rPr>
  </w:style>
  <w:style w:type="character" w:styleId="Ngbinding" w:customStyle="1">
    <w:name w:val="ng-binding"/>
    <w:basedOn w:val="DefaultParagraphFont"/>
    <w:qFormat/>
    <w:rsid w:val="00bb0523"/>
    <w:rPr/>
  </w:style>
  <w:style w:type="character" w:styleId="Tekstpodstawowy2Znak" w:customStyle="1">
    <w:name w:val="Tekst podstawowy 2 Znak"/>
    <w:basedOn w:val="DefaultParagraphFont"/>
    <w:link w:val="Tekstpodstawowy2"/>
    <w:uiPriority w:val="99"/>
    <w:semiHidden/>
    <w:qFormat/>
    <w:rsid w:val="00bb0523"/>
    <w:rPr>
      <w:rFonts w:ascii="Times New Roman" w:hAnsi="Times New Roman" w:eastAsia="Times New Roman"/>
      <w:sz w:val="24"/>
      <w:szCs w:val="24"/>
    </w:rPr>
  </w:style>
  <w:style w:type="character" w:styleId="Domylnaczcionkaakapitu1" w:customStyle="1">
    <w:name w:val="Domyślna czcionka akapitu1"/>
    <w:qFormat/>
    <w:rsid w:val="00790da4"/>
    <w:rPr/>
  </w:style>
  <w:style w:type="character" w:styleId="Ngbindingngscope" w:customStyle="1">
    <w:name w:val="ng-binding ng-scope"/>
    <w:basedOn w:val="DefaultParagraphFont"/>
    <w:qFormat/>
    <w:rsid w:val="00fd4484"/>
    <w:rPr/>
  </w:style>
  <w:style w:type="character" w:styleId="TekstpodstawowywcityZnak" w:customStyle="1">
    <w:name w:val="Tekst podstawowy wcięty Znak"/>
    <w:basedOn w:val="DefaultParagraphFont"/>
    <w:link w:val="Tekstpodstawowywcity"/>
    <w:uiPriority w:val="99"/>
    <w:semiHidden/>
    <w:qFormat/>
    <w:rsid w:val="00d83e94"/>
    <w:rPr>
      <w:rFonts w:ascii="Times New Roman" w:hAnsi="Times New Roman" w:eastAsia="Times New Roman"/>
      <w:sz w:val="24"/>
      <w:szCs w:val="24"/>
    </w:rPr>
  </w:style>
  <w:style w:type="character" w:styleId="TeksttreciPogrubienie" w:customStyle="1">
    <w:name w:val="Tekst treści + Pogrubienie"/>
    <w:basedOn w:val="DefaultParagraphFont"/>
    <w:qFormat/>
    <w:rsid w:val="00b975f5"/>
    <w:rPr>
      <w:rFonts w:ascii="Times New Roman" w:hAnsi="Times New Roman" w:cs="Times New Roman"/>
      <w:b/>
      <w:bCs/>
      <w:spacing w:val="0"/>
      <w:sz w:val="21"/>
      <w:szCs w:val="21"/>
    </w:rPr>
  </w:style>
  <w:style w:type="character" w:styleId="Tekstpodstawowy3Znak" w:customStyle="1">
    <w:name w:val="Tekst podstawowy 3 Znak"/>
    <w:basedOn w:val="DefaultParagraphFont"/>
    <w:link w:val="Tekstpodstawowy3"/>
    <w:uiPriority w:val="99"/>
    <w:semiHidden/>
    <w:qFormat/>
    <w:rsid w:val="00c862a6"/>
    <w:rPr>
      <w:rFonts w:ascii="Times New Roman" w:hAnsi="Times New Roman" w:eastAsia="Times New Roman"/>
      <w:sz w:val="16"/>
      <w:szCs w:val="16"/>
    </w:rPr>
  </w:style>
  <w:style w:type="character" w:styleId="TytuZnak" w:customStyle="1">
    <w:name w:val="Tytuł Znak"/>
    <w:basedOn w:val="DefaultParagraphFont"/>
    <w:link w:val="Tytu"/>
    <w:qFormat/>
    <w:rsid w:val="00c862a6"/>
    <w:rPr>
      <w:rFonts w:ascii="Times New Roman" w:hAnsi="Times New Roman" w:eastAsia="Times New Roman"/>
      <w:b/>
      <w:bCs/>
      <w:szCs w:val="24"/>
    </w:rPr>
  </w:style>
  <w:style w:type="character" w:styleId="HTMLwstpniesformatowanyZnak" w:customStyle="1">
    <w:name w:val="HTML - wstępnie sformatowany Znak"/>
    <w:basedOn w:val="DefaultParagraphFont"/>
    <w:link w:val="HTML-wstpniesformatowany"/>
    <w:qFormat/>
    <w:rsid w:val="008d29c7"/>
    <w:rPr>
      <w:rFonts w:ascii="Courier New" w:hAnsi="Courier New" w:eastAsia="Times New Roman" w:cs="Courier New"/>
      <w:sz w:val="20"/>
      <w:szCs w:val="20"/>
    </w:rPr>
  </w:style>
  <w:style w:type="character" w:styleId="Ngscope" w:customStyle="1">
    <w:name w:val="ng-scope"/>
    <w:basedOn w:val="DefaultParagraphFont"/>
    <w:qFormat/>
    <w:rsid w:val="00e70887"/>
    <w:rPr/>
  </w:style>
  <w:style w:type="character" w:styleId="Nagwek5" w:customStyle="1">
    <w:name w:val="Nagłówek #5"/>
    <w:basedOn w:val="DefaultParagraphFont"/>
    <w:qFormat/>
    <w:rsid w:val="00b77104"/>
    <w:rPr>
      <w:rFonts w:ascii="Times New Roman" w:hAnsi="Times New Roman" w:cs="Times New Roman"/>
      <w:sz w:val="21"/>
      <w:szCs w:val="21"/>
      <w:shd w:fill="FFFFFF" w:val="clear"/>
    </w:rPr>
  </w:style>
  <w:style w:type="character" w:styleId="Mocnowyrniony" w:customStyle="1">
    <w:name w:val="Mocno wyróżniony"/>
    <w:qFormat/>
    <w:rsid w:val="00b77104"/>
    <w:rPr>
      <w:b/>
      <w:bCs/>
    </w:rPr>
  </w:style>
  <w:style w:type="character" w:styleId="Nagwek51" w:customStyle="1">
    <w:name w:val="Nagłówek #5_"/>
    <w:basedOn w:val="DefaultParagraphFont"/>
    <w:link w:val="Nagwek51"/>
    <w:qFormat/>
    <w:rsid w:val="00fb5444"/>
    <w:rPr>
      <w:rFonts w:ascii="Times New Roman" w:hAnsi="Times New Roman"/>
      <w:sz w:val="21"/>
      <w:szCs w:val="21"/>
      <w:shd w:fill="FFFFFF" w:val="clear"/>
    </w:rPr>
  </w:style>
  <w:style w:type="character" w:styleId="TeksttreciPogrubienie3" w:customStyle="1">
    <w:name w:val="Tekst treści + Pogrubienie3"/>
    <w:basedOn w:val="Teksttreci"/>
    <w:qFormat/>
    <w:rsid w:val="00fb5444"/>
    <w:rPr>
      <w:rFonts w:ascii="Times New Roman" w:hAnsi="Times New Roman" w:cs="Times New Roman"/>
      <w:b/>
      <w:bCs/>
      <w:spacing w:val="0"/>
      <w:sz w:val="21"/>
      <w:szCs w:val="21"/>
    </w:rPr>
  </w:style>
  <w:style w:type="character" w:styleId="Teksttreci3" w:customStyle="1">
    <w:name w:val="Tekst treści (3)_"/>
    <w:basedOn w:val="DefaultParagraphFont"/>
    <w:link w:val="Teksttreci30"/>
    <w:qFormat/>
    <w:rsid w:val="00fb5444"/>
    <w:rPr>
      <w:rFonts w:ascii="Times New Roman" w:hAnsi="Times New Roman"/>
      <w:sz w:val="21"/>
      <w:szCs w:val="21"/>
      <w:shd w:fill="FFFFFF" w:val="clear"/>
    </w:rPr>
  </w:style>
  <w:style w:type="character" w:styleId="Teksttreci3Pogrubienie" w:customStyle="1">
    <w:name w:val="Tekst treści (3) + Pogrubienie"/>
    <w:basedOn w:val="Teksttreci3"/>
    <w:qFormat/>
    <w:rsid w:val="00fb5444"/>
    <w:rPr>
      <w:b/>
      <w:bCs/>
    </w:rPr>
  </w:style>
  <w:style w:type="character" w:styleId="Teksttreci4" w:customStyle="1">
    <w:name w:val="Tekst treści (4)_"/>
    <w:basedOn w:val="DefaultParagraphFont"/>
    <w:link w:val="Teksttreci40"/>
    <w:qFormat/>
    <w:rsid w:val="00fb5444"/>
    <w:rPr>
      <w:rFonts w:ascii="Times New Roman" w:hAnsi="Times New Roman"/>
      <w:sz w:val="20"/>
      <w:szCs w:val="20"/>
      <w:shd w:fill="FFFFFF" w:val="clear"/>
    </w:rPr>
  </w:style>
  <w:style w:type="character" w:styleId="TeksttreciPogrubienie2" w:customStyle="1">
    <w:name w:val="Tekst treści + Pogrubienie2"/>
    <w:basedOn w:val="Teksttreci"/>
    <w:qFormat/>
    <w:rsid w:val="00fb5444"/>
    <w:rPr>
      <w:rFonts w:ascii="Times New Roman" w:hAnsi="Times New Roman" w:cs="Times New Roman"/>
      <w:b/>
      <w:bCs/>
      <w:spacing w:val="0"/>
      <w:sz w:val="21"/>
      <w:szCs w:val="21"/>
    </w:rPr>
  </w:style>
  <w:style w:type="character" w:styleId="TeksttreciKursywa1" w:customStyle="1">
    <w:name w:val="Tekst treści + Kursywa1"/>
    <w:basedOn w:val="Teksttreci"/>
    <w:qFormat/>
    <w:rsid w:val="00fb5444"/>
    <w:rPr>
      <w:rFonts w:ascii="Times New Roman" w:hAnsi="Times New Roman" w:cs="Times New Roman"/>
      <w:i/>
      <w:iCs/>
      <w:spacing w:val="0"/>
      <w:sz w:val="21"/>
      <w:szCs w:val="21"/>
    </w:rPr>
  </w:style>
  <w:style w:type="character" w:styleId="Nagwek52" w:customStyle="1">
    <w:name w:val="Nagłówek #52"/>
    <w:basedOn w:val="Nagwek51"/>
    <w:qFormat/>
    <w:rsid w:val="00fb5444"/>
    <w:rPr>
      <w:rFonts w:cs="Times New Roman"/>
      <w:b/>
      <w:bCs/>
      <w:spacing w:val="0"/>
      <w:u w:val="single"/>
    </w:rPr>
  </w:style>
  <w:style w:type="character" w:styleId="Teksttreci5" w:customStyle="1">
    <w:name w:val="Tekst treści (5)_"/>
    <w:basedOn w:val="DefaultParagraphFont"/>
    <w:link w:val="Teksttreci50"/>
    <w:qFormat/>
    <w:rsid w:val="00fb5444"/>
    <w:rPr>
      <w:rFonts w:ascii="Times New Roman" w:hAnsi="Times New Roman"/>
      <w:i/>
      <w:iCs/>
      <w:sz w:val="21"/>
      <w:szCs w:val="21"/>
      <w:shd w:fill="FFFFFF" w:val="clear"/>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eastAsia="Times New Roman" w:cs="Times New Roman"/>
    </w:rPr>
  </w:style>
  <w:style w:type="character" w:styleId="ListLabel26">
    <w:name w:val="ListLabel 26"/>
    <w:qFormat/>
    <w:rPr>
      <w:rFonts w:eastAsia="Times New Roman" w:cs="Times New Roman"/>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Times New Roman"/>
    </w:rPr>
  </w:style>
  <w:style w:type="character" w:styleId="ListLabel30">
    <w:name w:val="ListLabel 30"/>
    <w:qFormat/>
    <w:rPr>
      <w:rFonts w:cs="Times New Roman"/>
      <w:b w:val="false"/>
      <w:bCs w:val="false"/>
      <w:i w:val="false"/>
      <w:iCs w:val="false"/>
      <w:caps w:val="false"/>
      <w:smallCaps w:val="false"/>
      <w:strike w:val="false"/>
      <w:dstrike w:val="false"/>
      <w:color w:val="000000"/>
      <w:spacing w:val="0"/>
      <w:w w:val="100"/>
      <w:sz w:val="21"/>
      <w:szCs w:val="21"/>
      <w:u w:val="none"/>
    </w:rPr>
  </w:style>
  <w:style w:type="character" w:styleId="ListLabel31">
    <w:name w:val="ListLabel 31"/>
    <w:qFormat/>
    <w:rPr>
      <w:rFonts w:cs="Times New Roman"/>
      <w:b w:val="false"/>
      <w:bCs w:val="false"/>
      <w:i w:val="false"/>
      <w:iCs w:val="false"/>
      <w:caps w:val="false"/>
      <w:smallCaps w:val="false"/>
      <w:strike w:val="false"/>
      <w:dstrike w:val="false"/>
      <w:color w:val="000000"/>
      <w:spacing w:val="0"/>
      <w:w w:val="100"/>
      <w:sz w:val="21"/>
      <w:szCs w:val="21"/>
      <w:u w:val="none"/>
    </w:rPr>
  </w:style>
  <w:style w:type="character" w:styleId="ListLabel32">
    <w:name w:val="ListLabel 32"/>
    <w:qFormat/>
    <w:rPr>
      <w:rFonts w:cs="Times New Roman"/>
      <w:b w:val="false"/>
      <w:bCs w:val="false"/>
      <w:i w:val="false"/>
      <w:iCs w:val="false"/>
      <w:caps w:val="false"/>
      <w:smallCaps w:val="false"/>
      <w:strike w:val="false"/>
      <w:dstrike w:val="false"/>
      <w:color w:val="000000"/>
      <w:spacing w:val="0"/>
      <w:w w:val="100"/>
      <w:sz w:val="21"/>
      <w:szCs w:val="21"/>
      <w:u w:val="none"/>
    </w:rPr>
  </w:style>
  <w:style w:type="character" w:styleId="ListLabel33">
    <w:name w:val="ListLabel 33"/>
    <w:qFormat/>
    <w:rPr>
      <w:rFonts w:cs="Times New Roman"/>
      <w:b w:val="false"/>
      <w:bCs w:val="false"/>
      <w:i w:val="false"/>
      <w:iCs w:val="false"/>
      <w:caps w:val="false"/>
      <w:smallCaps w:val="false"/>
      <w:strike w:val="false"/>
      <w:dstrike w:val="false"/>
      <w:color w:val="000000"/>
      <w:spacing w:val="0"/>
      <w:w w:val="100"/>
      <w:sz w:val="21"/>
      <w:szCs w:val="21"/>
      <w:u w:val="none"/>
    </w:rPr>
  </w:style>
  <w:style w:type="character" w:styleId="ListLabel34">
    <w:name w:val="ListLabel 34"/>
    <w:qFormat/>
    <w:rPr>
      <w:rFonts w:cs="Times New Roman"/>
      <w:b w:val="false"/>
      <w:bCs w:val="false"/>
      <w:i w:val="false"/>
      <w:iCs w:val="false"/>
      <w:caps w:val="false"/>
      <w:smallCaps w:val="false"/>
      <w:strike w:val="false"/>
      <w:dstrike w:val="false"/>
      <w:color w:val="000000"/>
      <w:spacing w:val="0"/>
      <w:w w:val="100"/>
      <w:sz w:val="21"/>
      <w:szCs w:val="21"/>
      <w:u w:val="none"/>
    </w:rPr>
  </w:style>
  <w:style w:type="character" w:styleId="ListLabel35">
    <w:name w:val="ListLabel 35"/>
    <w:qFormat/>
    <w:rPr>
      <w:rFonts w:cs="Times New Roman"/>
      <w:b w:val="false"/>
      <w:bCs w:val="false"/>
      <w:i/>
      <w:iCs/>
      <w:caps w:val="false"/>
      <w:smallCaps w:val="false"/>
      <w:strike w:val="false"/>
      <w:dstrike w:val="false"/>
      <w:color w:val="000000"/>
      <w:spacing w:val="0"/>
      <w:w w:val="100"/>
      <w:sz w:val="21"/>
      <w:szCs w:val="21"/>
      <w:u w:val="none"/>
    </w:rPr>
  </w:style>
  <w:style w:type="character" w:styleId="ListLabel36">
    <w:name w:val="ListLabel 36"/>
    <w:qFormat/>
    <w:rPr>
      <w:rFonts w:cs="Times New Roman"/>
      <w:b w:val="false"/>
      <w:bCs w:val="false"/>
      <w:i/>
      <w:iCs/>
      <w:caps w:val="false"/>
      <w:smallCaps w:val="false"/>
      <w:strike w:val="false"/>
      <w:dstrike w:val="false"/>
      <w:color w:val="000000"/>
      <w:spacing w:val="0"/>
      <w:w w:val="100"/>
      <w:sz w:val="21"/>
      <w:szCs w:val="21"/>
      <w:u w:val="none"/>
    </w:rPr>
  </w:style>
  <w:style w:type="character" w:styleId="ListLabel37">
    <w:name w:val="ListLabel 37"/>
    <w:qFormat/>
    <w:rPr>
      <w:rFonts w:cs="Times New Roman"/>
      <w:b w:val="false"/>
      <w:bCs w:val="false"/>
      <w:i/>
      <w:iCs/>
      <w:caps w:val="false"/>
      <w:smallCaps w:val="false"/>
      <w:strike w:val="false"/>
      <w:dstrike w:val="false"/>
      <w:color w:val="000000"/>
      <w:spacing w:val="0"/>
      <w:w w:val="100"/>
      <w:sz w:val="21"/>
      <w:szCs w:val="21"/>
      <w:u w:val="none"/>
    </w:rPr>
  </w:style>
  <w:style w:type="character" w:styleId="ListLabel38">
    <w:name w:val="ListLabel 38"/>
    <w:qFormat/>
    <w:rPr>
      <w:rFonts w:cs="Times New Roman"/>
      <w:b w:val="false"/>
      <w:bCs w:val="false"/>
      <w:i/>
      <w:iCs/>
      <w:caps w:val="false"/>
      <w:smallCaps w:val="false"/>
      <w:strike w:val="false"/>
      <w:dstrike w:val="false"/>
      <w:color w:val="000000"/>
      <w:spacing w:val="0"/>
      <w:w w:val="100"/>
      <w:sz w:val="21"/>
      <w:szCs w:val="21"/>
      <w:u w:val="none"/>
    </w:rPr>
  </w:style>
  <w:style w:type="character" w:styleId="ListLabel39">
    <w:name w:val="ListLabel 39"/>
    <w:qFormat/>
    <w:rPr>
      <w:rFonts w:eastAsia="Times New Roman"/>
    </w:rPr>
  </w:style>
  <w:style w:type="character" w:styleId="ListLabel40">
    <w:name w:val="ListLabel 40"/>
    <w:qFormat/>
    <w:rPr>
      <w:rFonts w:cs="Wingdings"/>
    </w:rPr>
  </w:style>
  <w:style w:type="character" w:styleId="ListLabel41">
    <w:name w:val="ListLabel 41"/>
    <w:qFormat/>
    <w:rPr>
      <w:rFonts w:cs="Symbol"/>
    </w:rPr>
  </w:style>
  <w:style w:type="character" w:styleId="ListLabel42">
    <w:name w:val="ListLabel 42"/>
    <w:qFormat/>
    <w:rPr>
      <w:rFonts w:cs="Courier New"/>
    </w:rPr>
  </w:style>
  <w:style w:type="character" w:styleId="ListLabel43">
    <w:name w:val="ListLabel 43"/>
    <w:qFormat/>
    <w:rPr>
      <w:rFonts w:cs="Wingdings"/>
    </w:rPr>
  </w:style>
  <w:style w:type="character" w:styleId="ListLabel44">
    <w:name w:val="ListLabel 44"/>
    <w:qFormat/>
    <w:rPr>
      <w:rFonts w:cs="Symbol"/>
    </w:rPr>
  </w:style>
  <w:style w:type="character" w:styleId="ListLabel45">
    <w:name w:val="ListLabel 45"/>
    <w:qFormat/>
    <w:rPr>
      <w:rFonts w:cs="Courier New"/>
    </w:rPr>
  </w:style>
  <w:style w:type="character" w:styleId="ListLabel46">
    <w:name w:val="ListLabel 46"/>
    <w:qFormat/>
    <w:rPr>
      <w:rFonts w:cs="Wingdings"/>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color w:val="auto"/>
    </w:rPr>
  </w:style>
  <w:style w:type="character" w:styleId="WW8Num1z0">
    <w:name w:val="WW8Num1z0"/>
    <w:qFormat/>
    <w:rPr>
      <w:rFonts w:ascii="Times New Roman" w:hAnsi="Times New Roman" w:cs="Times New Roman"/>
      <w:b w:val="false"/>
      <w:bCs w:val="false"/>
      <w:i w:val="false"/>
      <w:iCs w:val="false"/>
      <w:strike w:val="false"/>
      <w:dstrike w:val="false"/>
      <w:color w:val="000000"/>
      <w:sz w:val="24"/>
      <w:szCs w:val="24"/>
      <w:u w:val="none"/>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33z0">
    <w:name w:val="WW8Num33z0"/>
    <w:qFormat/>
    <w:rPr>
      <w:sz w:val="26"/>
      <w:szCs w:val="26"/>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12z0">
    <w:name w:val="WW8Num12z0"/>
    <w:qFormat/>
    <w:rPr>
      <w:sz w:val="26"/>
      <w:szCs w:val="26"/>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4z0">
    <w:name w:val="WW8Num4z0"/>
    <w:qFormat/>
    <w:rPr>
      <w:rFonts w:ascii="Times New Roman" w:hAnsi="Times New Roman" w:eastAsia="Times New Roman" w:cs="Times New Roman"/>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6z0">
    <w:name w:val="WW8Num6z0"/>
    <w:qFormat/>
    <w:rPr>
      <w:sz w:val="22"/>
      <w:szCs w:val="22"/>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3z0">
    <w:name w:val="WW8Num3z0"/>
    <w:qFormat/>
    <w:rPr>
      <w:sz w:val="22"/>
      <w:szCs w:val="22"/>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2z0">
    <w:name w:val="WW8Num2z0"/>
    <w:qFormat/>
    <w:rPr>
      <w:rFonts w:ascii="Times New Roman" w:hAnsi="Times New Roman" w:eastAsia="Times New Roman" w:cs="Times New Roman"/>
      <w:sz w:val="22"/>
      <w:szCs w:val="2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10z0">
    <w:name w:val="WW8Num10z0"/>
    <w:qFormat/>
    <w:rPr>
      <w:rFonts w:ascii="Times New Roman" w:hAnsi="Times New Roman" w:cs="Times New Roman"/>
    </w:rPr>
  </w:style>
  <w:style w:type="character" w:styleId="WW8Num10z1">
    <w:name w:val="WW8Num10z1"/>
    <w:qFormat/>
    <w:rPr>
      <w:rFonts w:cs="Times New Roman"/>
    </w:rPr>
  </w:style>
  <w:style w:type="character" w:styleId="WW8Num8z0">
    <w:name w:val="WW8Num8z0"/>
    <w:qFormat/>
    <w:rPr>
      <w:rFonts w:ascii="Times New Roman" w:hAnsi="Times New Roman" w:cs="Times New Roman"/>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11z0">
    <w:name w:val="WW8Num11z0"/>
    <w:qFormat/>
    <w:rPr>
      <w:rFonts w:ascii="Times New Roman" w:hAnsi="Times New Roman" w:cs="Times New Roman"/>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5z0">
    <w:name w:val="WW8Num5z0"/>
    <w:qFormat/>
    <w:rPr>
      <w:rFonts w:ascii="Times New Roman" w:hAnsi="Times New Roman" w:cs="Times New Roman"/>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14z0">
    <w:name w:val="WW8Num14z0"/>
    <w:qFormat/>
    <w:rPr>
      <w:sz w:val="24"/>
      <w:szCs w:val="2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8z0">
    <w:name w:val="WW8Num18z0"/>
    <w:qFormat/>
    <w:rPr>
      <w:sz w:val="24"/>
      <w:szCs w:val="24"/>
    </w:rPr>
  </w:style>
  <w:style w:type="character" w:styleId="WW8Num23z0">
    <w:name w:val="WW8Num23z0"/>
    <w:qFormat/>
    <w:rPr>
      <w:sz w:val="24"/>
      <w:szCs w:val="24"/>
    </w:rPr>
  </w:style>
  <w:style w:type="character" w:styleId="WW8Num23z1">
    <w:name w:val="WW8Num23z1"/>
    <w:qFormat/>
    <w:rPr/>
  </w:style>
  <w:style w:type="character" w:styleId="WW8Num23z2">
    <w:name w:val="WW8Num23z2"/>
    <w:qFormat/>
    <w:rPr/>
  </w:style>
  <w:style w:type="character" w:styleId="WW8Num23z3">
    <w:name w:val="WW8Num23z3"/>
    <w:qFormat/>
    <w:rPr>
      <w:sz w:val="24"/>
      <w:szCs w:val="24"/>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13z0">
    <w:name w:val="WW8Num13z0"/>
    <w:qFormat/>
    <w:rPr>
      <w:sz w:val="24"/>
      <w:szCs w:val="24"/>
    </w:rPr>
  </w:style>
  <w:style w:type="character" w:styleId="WW8Num20z0">
    <w:name w:val="WW8Num20z0"/>
    <w:qFormat/>
    <w:rPr>
      <w:sz w:val="24"/>
      <w:szCs w:val="24"/>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TekstpodstawowyZnak"/>
    <w:uiPriority w:val="99"/>
    <w:rsid w:val="00ff7c22"/>
    <w:pPr>
      <w:spacing w:before="0" w:after="12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ff7c22"/>
    <w:pPr>
      <w:spacing w:before="0" w:after="0"/>
      <w:ind w:left="720" w:hanging="0"/>
      <w:contextualSpacing/>
    </w:pPr>
    <w:rPr/>
  </w:style>
  <w:style w:type="paragraph" w:styleId="Teksttreci1" w:customStyle="1">
    <w:name w:val="Tekst treści"/>
    <w:basedOn w:val="Normal"/>
    <w:link w:val="Teksttreci"/>
    <w:qFormat/>
    <w:rsid w:val="001e2ee1"/>
    <w:pPr>
      <w:widowControl w:val="false"/>
      <w:shd w:val="clear" w:color="auto" w:fill="FFFFFF"/>
      <w:spacing w:lineRule="atLeast" w:line="240" w:before="60" w:after="180"/>
      <w:ind w:hanging="280"/>
      <w:jc w:val="center"/>
    </w:pPr>
    <w:rPr>
      <w:rFonts w:ascii="Arial" w:hAnsi="Arial" w:eastAsia="Calibri"/>
      <w:sz w:val="18"/>
      <w:szCs w:val="20"/>
      <w:shd w:fill="FFFFFF" w:val="clear"/>
    </w:rPr>
  </w:style>
  <w:style w:type="paragraph" w:styleId="BalloonText">
    <w:name w:val="Balloon Text"/>
    <w:basedOn w:val="Normal"/>
    <w:link w:val="TekstdymkaZnak"/>
    <w:uiPriority w:val="99"/>
    <w:semiHidden/>
    <w:qFormat/>
    <w:rsid w:val="001e2ee1"/>
    <w:pPr/>
    <w:rPr>
      <w:rFonts w:ascii="Tahoma" w:hAnsi="Tahoma" w:cs="Tahoma"/>
      <w:sz w:val="16"/>
      <w:szCs w:val="16"/>
    </w:rPr>
  </w:style>
  <w:style w:type="paragraph" w:styleId="Nagwek22" w:customStyle="1">
    <w:name w:val="Nagłówek #2"/>
    <w:basedOn w:val="Normal"/>
    <w:link w:val="Nagwek20"/>
    <w:uiPriority w:val="99"/>
    <w:qFormat/>
    <w:rsid w:val="00a009a7"/>
    <w:pPr>
      <w:shd w:val="clear" w:color="auto" w:fill="FFFFFF"/>
      <w:spacing w:lineRule="exact" w:line="322" w:before="360" w:after="0"/>
      <w:outlineLvl w:val="1"/>
    </w:pPr>
    <w:rPr>
      <w:rFonts w:ascii="Calibri" w:hAnsi="Calibri" w:eastAsia="Calibri"/>
      <w:b/>
      <w:bCs/>
      <w:sz w:val="27"/>
      <w:szCs w:val="27"/>
      <w:lang w:eastAsia="en-US"/>
    </w:rPr>
  </w:style>
  <w:style w:type="paragraph" w:styleId="Bezodstpw1" w:customStyle="1">
    <w:name w:val="Bez odstępów1"/>
    <w:uiPriority w:val="99"/>
    <w:qFormat/>
    <w:rsid w:val="00910a27"/>
    <w:pPr>
      <w:widowControl/>
      <w:bidi w:val="0"/>
      <w:jc w:val="left"/>
    </w:pPr>
    <w:rPr>
      <w:rFonts w:eastAsia="Times New Roman" w:ascii="Calibri" w:hAnsi="Calibri" w:cs="Times New Roman"/>
      <w:color w:val="auto"/>
      <w:kern w:val="0"/>
      <w:sz w:val="24"/>
      <w:szCs w:val="22"/>
      <w:lang w:val="en-US" w:eastAsia="en-US" w:bidi="ar-SA"/>
    </w:rPr>
  </w:style>
  <w:style w:type="paragraph" w:styleId="Przypiskocowy">
    <w:name w:val="Endnote Text"/>
    <w:basedOn w:val="Normal"/>
    <w:link w:val="TekstprzypisukocowegoZnak"/>
    <w:uiPriority w:val="99"/>
    <w:semiHidden/>
    <w:rsid w:val="007b65d9"/>
    <w:pPr/>
    <w:rPr>
      <w:sz w:val="20"/>
      <w:szCs w:val="20"/>
    </w:rPr>
  </w:style>
  <w:style w:type="paragraph" w:styleId="NormalWeb">
    <w:name w:val="Normal (Web)"/>
    <w:basedOn w:val="Normal"/>
    <w:qFormat/>
    <w:rsid w:val="00317fbf"/>
    <w:pPr>
      <w:spacing w:beforeAutospacing="1" w:afterAutospacing="1"/>
    </w:pPr>
    <w:rPr>
      <w:rFonts w:eastAsia="Calibri"/>
      <w:color w:val="000000"/>
    </w:rPr>
  </w:style>
  <w:style w:type="paragraph" w:styleId="NoSpacing">
    <w:name w:val="No Spacing"/>
    <w:uiPriority w:val="1"/>
    <w:qFormat/>
    <w:rsid w:val="00317fbf"/>
    <w:pPr>
      <w:widowControl/>
      <w:bidi w:val="0"/>
      <w:jc w:val="left"/>
    </w:pPr>
    <w:rPr>
      <w:rFonts w:ascii="Calibri" w:hAnsi="Calibri" w:eastAsia="Calibri" w:cs="Times New Roman"/>
      <w:color w:val="auto"/>
      <w:kern w:val="0"/>
      <w:sz w:val="24"/>
      <w:szCs w:val="22"/>
      <w:lang w:eastAsia="en-US" w:val="pl-PL" w:bidi="ar-SA"/>
    </w:rPr>
  </w:style>
  <w:style w:type="paragraph" w:styleId="Default" w:customStyle="1">
    <w:name w:val="Default"/>
    <w:qFormat/>
    <w:rsid w:val="00944001"/>
    <w:pPr>
      <w:widowControl/>
      <w:bidi w:val="0"/>
      <w:jc w:val="left"/>
    </w:pPr>
    <w:rPr>
      <w:rFonts w:ascii="Times New Roman" w:hAnsi="Times New Roman" w:eastAsia="Times New Roman" w:cs="Times New Roman"/>
      <w:color w:val="000000"/>
      <w:kern w:val="0"/>
      <w:sz w:val="24"/>
      <w:szCs w:val="24"/>
      <w:lang w:val="pl-PL" w:eastAsia="pl-PL" w:bidi="ar-SA"/>
    </w:rPr>
  </w:style>
  <w:style w:type="paragraph" w:styleId="Redniasiatka1akcent21" w:customStyle="1">
    <w:name w:val="Średnia siatka 1 — akcent 21"/>
    <w:basedOn w:val="Normal"/>
    <w:uiPriority w:val="34"/>
    <w:qFormat/>
    <w:rsid w:val="008970a6"/>
    <w:pPr>
      <w:spacing w:before="0" w:after="0"/>
      <w:ind w:left="720" w:hanging="0"/>
      <w:contextualSpacing/>
    </w:pPr>
    <w:rPr>
      <w:rFonts w:ascii="Cambria" w:hAnsi="Cambria" w:eastAsia="MS Mincho"/>
    </w:rPr>
  </w:style>
  <w:style w:type="paragraph" w:styleId="Stopka">
    <w:name w:val="Footer"/>
    <w:basedOn w:val="Normal"/>
    <w:link w:val="StopkaZnak"/>
    <w:unhideWhenUsed/>
    <w:rsid w:val="008970a6"/>
    <w:pPr>
      <w:tabs>
        <w:tab w:val="clear" w:pos="708"/>
        <w:tab w:val="center" w:pos="4536" w:leader="none"/>
        <w:tab w:val="right" w:pos="9072" w:leader="none"/>
      </w:tabs>
    </w:pPr>
    <w:rPr>
      <w:rFonts w:ascii="Cambria" w:hAnsi="Cambria" w:eastAsia="MS Mincho"/>
      <w:sz w:val="20"/>
      <w:szCs w:val="20"/>
    </w:rPr>
  </w:style>
  <w:style w:type="paragraph" w:styleId="Gwka">
    <w:name w:val="Header"/>
    <w:basedOn w:val="Normal"/>
    <w:link w:val="NagwekZnak"/>
    <w:unhideWhenUsed/>
    <w:rsid w:val="008970a6"/>
    <w:pPr>
      <w:tabs>
        <w:tab w:val="clear" w:pos="708"/>
        <w:tab w:val="center" w:pos="4536" w:leader="none"/>
        <w:tab w:val="right" w:pos="9072" w:leader="none"/>
      </w:tabs>
    </w:pPr>
    <w:rPr>
      <w:rFonts w:ascii="Cambria" w:hAnsi="Cambria" w:eastAsia="MS Mincho"/>
    </w:rPr>
  </w:style>
  <w:style w:type="paragraph" w:styleId="Spistreci1">
    <w:name w:val="TOC 1"/>
    <w:basedOn w:val="Normal"/>
    <w:next w:val="Normal"/>
    <w:autoRedefine/>
    <w:uiPriority w:val="39"/>
    <w:unhideWhenUsed/>
    <w:locked/>
    <w:rsid w:val="008970a6"/>
    <w:pPr/>
    <w:rPr>
      <w:rFonts w:ascii="Cambria" w:hAnsi="Cambria" w:eastAsia="MS Mincho"/>
    </w:rPr>
  </w:style>
  <w:style w:type="paragraph" w:styleId="Spistreci2">
    <w:name w:val="TOC 2"/>
    <w:basedOn w:val="Normal"/>
    <w:next w:val="Normal"/>
    <w:autoRedefine/>
    <w:uiPriority w:val="39"/>
    <w:unhideWhenUsed/>
    <w:locked/>
    <w:rsid w:val="008970a6"/>
    <w:pPr>
      <w:ind w:left="240" w:hanging="0"/>
    </w:pPr>
    <w:rPr>
      <w:rFonts w:ascii="Cambria" w:hAnsi="Cambria" w:eastAsia="MS Mincho"/>
    </w:rPr>
  </w:style>
  <w:style w:type="paragraph" w:styleId="Spistreci3">
    <w:name w:val="TOC 3"/>
    <w:basedOn w:val="Normal"/>
    <w:next w:val="Normal"/>
    <w:autoRedefine/>
    <w:uiPriority w:val="39"/>
    <w:unhideWhenUsed/>
    <w:locked/>
    <w:rsid w:val="008970a6"/>
    <w:pPr>
      <w:ind w:left="480" w:hanging="0"/>
    </w:pPr>
    <w:rPr>
      <w:rFonts w:ascii="Cambria" w:hAnsi="Cambria" w:eastAsia="MS Mincho"/>
    </w:rPr>
  </w:style>
  <w:style w:type="paragraph" w:styleId="Spistreci4">
    <w:name w:val="TOC 4"/>
    <w:basedOn w:val="Normal"/>
    <w:next w:val="Normal"/>
    <w:autoRedefine/>
    <w:uiPriority w:val="39"/>
    <w:unhideWhenUsed/>
    <w:locked/>
    <w:rsid w:val="008970a6"/>
    <w:pPr>
      <w:ind w:left="720" w:hanging="0"/>
    </w:pPr>
    <w:rPr>
      <w:rFonts w:ascii="Cambria" w:hAnsi="Cambria" w:eastAsia="MS Mincho"/>
    </w:rPr>
  </w:style>
  <w:style w:type="paragraph" w:styleId="Spistreci5">
    <w:name w:val="TOC 5"/>
    <w:basedOn w:val="Normal"/>
    <w:next w:val="Normal"/>
    <w:autoRedefine/>
    <w:uiPriority w:val="39"/>
    <w:unhideWhenUsed/>
    <w:locked/>
    <w:rsid w:val="008970a6"/>
    <w:pPr>
      <w:ind w:left="960" w:hanging="0"/>
    </w:pPr>
    <w:rPr>
      <w:rFonts w:ascii="Cambria" w:hAnsi="Cambria" w:eastAsia="MS Mincho"/>
    </w:rPr>
  </w:style>
  <w:style w:type="paragraph" w:styleId="Spistreci6">
    <w:name w:val="TOC 6"/>
    <w:basedOn w:val="Normal"/>
    <w:next w:val="Normal"/>
    <w:autoRedefine/>
    <w:uiPriority w:val="39"/>
    <w:unhideWhenUsed/>
    <w:locked/>
    <w:rsid w:val="008970a6"/>
    <w:pPr>
      <w:ind w:left="1200" w:hanging="0"/>
    </w:pPr>
    <w:rPr>
      <w:rFonts w:ascii="Cambria" w:hAnsi="Cambria" w:eastAsia="MS Mincho"/>
    </w:rPr>
  </w:style>
  <w:style w:type="paragraph" w:styleId="Spistreci7">
    <w:name w:val="TOC 7"/>
    <w:basedOn w:val="Normal"/>
    <w:next w:val="Normal"/>
    <w:autoRedefine/>
    <w:uiPriority w:val="39"/>
    <w:unhideWhenUsed/>
    <w:locked/>
    <w:rsid w:val="008970a6"/>
    <w:pPr>
      <w:ind w:left="1440" w:hanging="0"/>
    </w:pPr>
    <w:rPr>
      <w:rFonts w:ascii="Cambria" w:hAnsi="Cambria" w:eastAsia="MS Mincho"/>
    </w:rPr>
  </w:style>
  <w:style w:type="paragraph" w:styleId="Spistreci8">
    <w:name w:val="TOC 8"/>
    <w:basedOn w:val="Normal"/>
    <w:next w:val="Normal"/>
    <w:autoRedefine/>
    <w:uiPriority w:val="39"/>
    <w:unhideWhenUsed/>
    <w:locked/>
    <w:rsid w:val="008970a6"/>
    <w:pPr>
      <w:ind w:left="1680" w:hanging="0"/>
    </w:pPr>
    <w:rPr>
      <w:rFonts w:ascii="Cambria" w:hAnsi="Cambria" w:eastAsia="MS Mincho"/>
    </w:rPr>
  </w:style>
  <w:style w:type="paragraph" w:styleId="Spistreci9">
    <w:name w:val="TOC 9"/>
    <w:basedOn w:val="Normal"/>
    <w:next w:val="Normal"/>
    <w:autoRedefine/>
    <w:uiPriority w:val="39"/>
    <w:unhideWhenUsed/>
    <w:locked/>
    <w:rsid w:val="008970a6"/>
    <w:pPr>
      <w:ind w:left="1920" w:hanging="0"/>
    </w:pPr>
    <w:rPr>
      <w:rFonts w:ascii="Cambria" w:hAnsi="Cambria" w:eastAsia="MS Mincho"/>
    </w:rPr>
  </w:style>
  <w:style w:type="paragraph" w:styleId="Kolorowalistaakcent11" w:customStyle="1">
    <w:name w:val="Kolorowa lista — akcent 11"/>
    <w:basedOn w:val="Normal"/>
    <w:uiPriority w:val="34"/>
    <w:qFormat/>
    <w:rsid w:val="008970a6"/>
    <w:pPr>
      <w:spacing w:before="0" w:after="0"/>
      <w:ind w:left="720" w:hanging="0"/>
      <w:contextualSpacing/>
    </w:pPr>
    <w:rPr>
      <w:rFonts w:ascii="Cambria" w:hAnsi="Cambria" w:eastAsia="MS Mincho"/>
    </w:rPr>
  </w:style>
  <w:style w:type="paragraph" w:styleId="Caption">
    <w:name w:val="caption"/>
    <w:basedOn w:val="Normal"/>
    <w:next w:val="Normal"/>
    <w:uiPriority w:val="35"/>
    <w:qFormat/>
    <w:locked/>
    <w:rsid w:val="008970a6"/>
    <w:pPr>
      <w:spacing w:before="0" w:after="200"/>
    </w:pPr>
    <w:rPr>
      <w:rFonts w:ascii="Cambria" w:hAnsi="Cambria" w:eastAsia="MS Mincho"/>
      <w:b/>
      <w:bCs/>
      <w:color w:val="4F81BD"/>
      <w:sz w:val="18"/>
      <w:szCs w:val="18"/>
    </w:rPr>
  </w:style>
  <w:style w:type="paragraph" w:styleId="BodyText2">
    <w:name w:val="Body Text 2"/>
    <w:basedOn w:val="Normal"/>
    <w:link w:val="Tekstpodstawowy2Znak"/>
    <w:uiPriority w:val="99"/>
    <w:semiHidden/>
    <w:unhideWhenUsed/>
    <w:qFormat/>
    <w:rsid w:val="00bb0523"/>
    <w:pPr>
      <w:spacing w:lineRule="auto" w:line="480" w:before="0" w:after="120"/>
    </w:pPr>
    <w:rPr/>
  </w:style>
  <w:style w:type="paragraph" w:styleId="Wcicietrecitekstu">
    <w:name w:val="Body Text Indent"/>
    <w:basedOn w:val="Normal"/>
    <w:link w:val="TekstpodstawowywcityZnak"/>
    <w:uiPriority w:val="99"/>
    <w:semiHidden/>
    <w:unhideWhenUsed/>
    <w:rsid w:val="00d83e94"/>
    <w:pPr>
      <w:spacing w:before="0" w:after="120"/>
      <w:ind w:left="283" w:hanging="0"/>
    </w:pPr>
    <w:rPr/>
  </w:style>
  <w:style w:type="paragraph" w:styleId="Bezodstpw2" w:customStyle="1">
    <w:name w:val="Bez odstępów2"/>
    <w:qFormat/>
    <w:rsid w:val="006c79b8"/>
    <w:pPr>
      <w:widowControl/>
      <w:bidi w:val="0"/>
      <w:jc w:val="left"/>
    </w:pPr>
    <w:rPr>
      <w:rFonts w:eastAsia="Times New Roman" w:ascii="Calibri" w:hAnsi="Calibri" w:cs="Times New Roman"/>
      <w:color w:val="auto"/>
      <w:kern w:val="0"/>
      <w:sz w:val="24"/>
      <w:szCs w:val="22"/>
      <w:lang w:eastAsia="en-US" w:val="pl-PL" w:bidi="ar-SA"/>
    </w:rPr>
  </w:style>
  <w:style w:type="paragraph" w:styleId="Tekstpodstawowy21" w:customStyle="1">
    <w:name w:val="Tekst podstawowy 21"/>
    <w:basedOn w:val="Normal"/>
    <w:qFormat/>
    <w:rsid w:val="00b975f5"/>
    <w:pPr>
      <w:suppressAutoHyphens w:val="true"/>
      <w:jc w:val="both"/>
    </w:pPr>
    <w:rPr>
      <w:szCs w:val="20"/>
      <w:lang w:eastAsia="ar-SA"/>
    </w:rPr>
  </w:style>
  <w:style w:type="paragraph" w:styleId="Standard" w:customStyle="1">
    <w:name w:val="Standard"/>
    <w:qFormat/>
    <w:rsid w:val="00c862a6"/>
    <w:pPr>
      <w:widowControl/>
      <w:suppressAutoHyphens w:val="true"/>
      <w:bidi w:val="0"/>
      <w:jc w:val="left"/>
      <w:textAlignment w:val="baseline"/>
    </w:pPr>
    <w:rPr>
      <w:rFonts w:ascii="Liberation Serif" w:hAnsi="Liberation Serif" w:eastAsia="SimSun" w:cs="Mangal"/>
      <w:color w:val="auto"/>
      <w:kern w:val="2"/>
      <w:sz w:val="24"/>
      <w:szCs w:val="24"/>
      <w:lang w:eastAsia="zh-CN" w:bidi="hi-IN" w:val="pl-PL"/>
    </w:rPr>
  </w:style>
  <w:style w:type="paragraph" w:styleId="BodyText3">
    <w:name w:val="Body Text 3"/>
    <w:basedOn w:val="Normal"/>
    <w:link w:val="Tekstpodstawowy3Znak"/>
    <w:uiPriority w:val="99"/>
    <w:semiHidden/>
    <w:unhideWhenUsed/>
    <w:qFormat/>
    <w:rsid w:val="00c862a6"/>
    <w:pPr>
      <w:spacing w:before="0" w:after="120"/>
    </w:pPr>
    <w:rPr>
      <w:sz w:val="16"/>
      <w:szCs w:val="16"/>
    </w:rPr>
  </w:style>
  <w:style w:type="paragraph" w:styleId="Naglwekstrony" w:customStyle="1">
    <w:name w:val="Naglówek strony"/>
    <w:basedOn w:val="Normal"/>
    <w:qFormat/>
    <w:rsid w:val="00c862a6"/>
    <w:pPr>
      <w:widowControl w:val="false"/>
      <w:tabs>
        <w:tab w:val="clear" w:pos="708"/>
        <w:tab w:val="center" w:pos="4536" w:leader="none"/>
        <w:tab w:val="right" w:pos="9072" w:leader="none"/>
      </w:tabs>
    </w:pPr>
    <w:rPr>
      <w:sz w:val="20"/>
      <w:szCs w:val="20"/>
    </w:rPr>
  </w:style>
  <w:style w:type="paragraph" w:styleId="Tekstpodstawowy31" w:customStyle="1">
    <w:name w:val="Tekst podstawowy 31"/>
    <w:basedOn w:val="Normal"/>
    <w:qFormat/>
    <w:rsid w:val="00c862a6"/>
    <w:pPr>
      <w:suppressAutoHyphens w:val="true"/>
      <w:spacing w:lineRule="exact" w:line="300"/>
      <w:jc w:val="both"/>
    </w:pPr>
    <w:rPr>
      <w:rFonts w:ascii="Arial" w:hAnsi="Arial"/>
      <w:sz w:val="20"/>
      <w:szCs w:val="20"/>
      <w:lang w:eastAsia="ar-SA"/>
    </w:rPr>
  </w:style>
  <w:style w:type="paragraph" w:styleId="Tytu">
    <w:name w:val="Title"/>
    <w:basedOn w:val="Normal"/>
    <w:link w:val="TytuZnak"/>
    <w:qFormat/>
    <w:locked/>
    <w:rsid w:val="00c862a6"/>
    <w:pPr>
      <w:spacing w:lineRule="exact" w:line="300"/>
      <w:jc w:val="center"/>
    </w:pPr>
    <w:rPr>
      <w:b/>
      <w:bCs/>
      <w:sz w:val="22"/>
    </w:rPr>
  </w:style>
  <w:style w:type="paragraph" w:styleId="HTMLPreformatted">
    <w:name w:val="HTML Preformatted"/>
    <w:basedOn w:val="Normal"/>
    <w:link w:val="HTML-wstpniesformatowanyZnak"/>
    <w:qFormat/>
    <w:rsid w:val="008d29c7"/>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Metrykatytul" w:customStyle="1">
    <w:name w:val="metryka tytul"/>
    <w:basedOn w:val="Normal"/>
    <w:qFormat/>
    <w:rsid w:val="00425d57"/>
    <w:pPr>
      <w:spacing w:beforeAutospacing="1" w:afterAutospacing="1"/>
    </w:pPr>
    <w:rPr/>
  </w:style>
  <w:style w:type="paragraph" w:styleId="Nagwek511" w:customStyle="1">
    <w:name w:val="Nagłówek #51"/>
    <w:basedOn w:val="Normal"/>
    <w:link w:val="Nagwek50"/>
    <w:qFormat/>
    <w:rsid w:val="00fb5444"/>
    <w:pPr>
      <w:shd w:val="clear" w:color="auto" w:fill="FFFFFF"/>
      <w:spacing w:lineRule="exact" w:line="254" w:before="900" w:after="240"/>
      <w:jc w:val="center"/>
      <w:outlineLvl w:val="4"/>
    </w:pPr>
    <w:rPr>
      <w:rFonts w:eastAsia="Calibri"/>
      <w:b/>
      <w:bCs/>
      <w:sz w:val="21"/>
      <w:szCs w:val="21"/>
    </w:rPr>
  </w:style>
  <w:style w:type="paragraph" w:styleId="Teksttreci31" w:customStyle="1">
    <w:name w:val="Tekst treści (3)"/>
    <w:basedOn w:val="Normal"/>
    <w:link w:val="Teksttreci3"/>
    <w:qFormat/>
    <w:rsid w:val="00fb5444"/>
    <w:pPr>
      <w:shd w:val="clear" w:color="auto" w:fill="FFFFFF"/>
      <w:spacing w:lineRule="exact" w:line="250" w:before="120" w:after="240"/>
    </w:pPr>
    <w:rPr>
      <w:rFonts w:eastAsia="Calibri"/>
      <w:sz w:val="21"/>
      <w:szCs w:val="21"/>
    </w:rPr>
  </w:style>
  <w:style w:type="paragraph" w:styleId="Teksttreci41" w:customStyle="1">
    <w:name w:val="Tekst treści (4)"/>
    <w:basedOn w:val="Normal"/>
    <w:link w:val="Teksttreci4"/>
    <w:qFormat/>
    <w:rsid w:val="00fb5444"/>
    <w:pPr>
      <w:shd w:val="clear" w:color="auto" w:fill="FFFFFF"/>
      <w:spacing w:lineRule="exact" w:line="230" w:before="0" w:after="480"/>
      <w:jc w:val="right"/>
    </w:pPr>
    <w:rPr>
      <w:rFonts w:eastAsia="Calibri"/>
      <w:sz w:val="20"/>
      <w:szCs w:val="20"/>
    </w:rPr>
  </w:style>
  <w:style w:type="paragraph" w:styleId="Teksttreci51" w:customStyle="1">
    <w:name w:val="Tekst treści (5)"/>
    <w:basedOn w:val="Normal"/>
    <w:link w:val="Teksttreci5"/>
    <w:qFormat/>
    <w:rsid w:val="00fb5444"/>
    <w:pPr>
      <w:shd w:val="clear" w:color="auto" w:fill="FFFFFF"/>
      <w:spacing w:lineRule="exact" w:line="250"/>
      <w:jc w:val="both"/>
    </w:pPr>
    <w:rPr>
      <w:rFonts w:eastAsia="Calibri"/>
      <w:i/>
      <w:iCs/>
      <w:sz w:val="21"/>
      <w:szCs w:val="21"/>
    </w:rPr>
  </w:style>
  <w:style w:type="paragraph" w:styleId="Textbody" w:customStyle="1">
    <w:name w:val="Text body"/>
    <w:basedOn w:val="Standard"/>
    <w:qFormat/>
    <w:rsid w:val="00fb5444"/>
    <w:pPr>
      <w:spacing w:lineRule="auto" w:line="276" w:before="0" w:after="140"/>
    </w:pPr>
    <w:rPr/>
  </w:style>
  <w:style w:type="paragraph" w:styleId="NormalnyWeb">
    <w:name w:val="Normalny (Web)"/>
    <w:basedOn w:val="Normal"/>
    <w:qFormat/>
    <w:pPr>
      <w:spacing w:before="280" w:after="280"/>
    </w:pPr>
    <w:rPr/>
  </w:style>
  <w:style w:type="paragraph" w:styleId="Tekstpodstawowywcity3">
    <w:name w:val="Tekst podstawowy wcięty 3"/>
    <w:basedOn w:val="Normal"/>
    <w:qFormat/>
    <w:pPr>
      <w:ind w:firstLine="431"/>
      <w:jc w:val="both"/>
    </w:pPr>
    <w:rPr>
      <w:sz w:val="26"/>
    </w:rPr>
  </w:style>
  <w:style w:type="paragraph" w:styleId="Paragraf">
    <w:name w:val="paragraf"/>
    <w:basedOn w:val="Normal"/>
    <w:qFormat/>
    <w:pPr>
      <w:spacing w:before="240" w:after="0"/>
      <w:jc w:val="center"/>
    </w:pPr>
    <w:rPr>
      <w:sz w:val="24"/>
    </w:rPr>
  </w:style>
  <w:style w:type="numbering" w:styleId="NoList" w:default="1">
    <w:name w:val="No List"/>
    <w:uiPriority w:val="99"/>
    <w:semiHidden/>
    <w:unhideWhenUsed/>
    <w:qFormat/>
  </w:style>
  <w:style w:type="numbering" w:styleId="WW8Num1">
    <w:name w:val="WW8Num1"/>
    <w:qFormat/>
  </w:style>
  <w:style w:type="numbering" w:styleId="WW8Num9">
    <w:name w:val="WW8Num9"/>
    <w:qFormat/>
  </w:style>
  <w:style w:type="numbering" w:styleId="WW8Num33">
    <w:name w:val="WW8Num33"/>
    <w:qFormat/>
  </w:style>
  <w:style w:type="numbering" w:styleId="WW8Num12">
    <w:name w:val="WW8Num12"/>
    <w:qFormat/>
  </w:style>
  <w:style w:type="numbering" w:styleId="WW8Num4">
    <w:name w:val="WW8Num4"/>
    <w:qFormat/>
  </w:style>
  <w:style w:type="numbering" w:styleId="WW8Num6">
    <w:name w:val="WW8Num6"/>
    <w:qFormat/>
  </w:style>
  <w:style w:type="numbering" w:styleId="WW8Num3">
    <w:name w:val="WW8Num3"/>
    <w:qFormat/>
  </w:style>
  <w:style w:type="numbering" w:styleId="WW8Num2">
    <w:name w:val="WW8Num2"/>
    <w:qFormat/>
  </w:style>
  <w:style w:type="numbering" w:styleId="WW8Num10">
    <w:name w:val="WW8Num10"/>
    <w:qFormat/>
  </w:style>
  <w:style w:type="numbering" w:styleId="WW8Num8">
    <w:name w:val="WW8Num8"/>
    <w:qFormat/>
  </w:style>
  <w:style w:type="numbering" w:styleId="WW8Num11">
    <w:name w:val="WW8Num11"/>
    <w:qFormat/>
  </w:style>
  <w:style w:type="numbering" w:styleId="WW8Num5">
    <w:name w:val="WW8Num5"/>
    <w:qFormat/>
  </w:style>
  <w:style w:type="numbering" w:styleId="WW8Num14">
    <w:name w:val="WW8Num14"/>
    <w:qFormat/>
  </w:style>
  <w:style w:type="numbering" w:styleId="WW8Num18">
    <w:name w:val="WW8Num18"/>
    <w:qFormat/>
  </w:style>
  <w:style w:type="numbering" w:styleId="WW8Num23">
    <w:name w:val="WW8Num23"/>
    <w:qFormat/>
  </w:style>
  <w:style w:type="numbering" w:styleId="WW8Num13">
    <w:name w:val="WW8Num13"/>
    <w:qFormat/>
  </w:style>
  <w:style w:type="numbering" w:styleId="WW8Num20">
    <w:name w:val="WW8Num20"/>
    <w:qFormat/>
  </w:style>
  <w:style w:type="numbering" w:styleId="WW8Num15">
    <w:name w:val="WW8Num15"/>
    <w:qFormat/>
  </w:style>
  <w:style w:type="numbering" w:styleId="WW8Num7">
    <w:name w:val="WW8Num7"/>
    <w:qFormat/>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table" w:styleId="Tabela-Siatka">
    <w:name w:val="Table Grid"/>
    <w:basedOn w:val="Standardowy"/>
    <w:rsid w:val="001e2ee1"/>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1252</TotalTime>
  <Application>LibreOffice/6.2.0.3$Windows_X86_64 LibreOffice_project/98c6a8a1c6c7b144ce3cc729e34964b47ce25d62</Application>
  <Pages>43</Pages>
  <Words>11070</Words>
  <Characters>63691</Characters>
  <CharactersWithSpaces>81568</CharactersWithSpaces>
  <Paragraphs>687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2018-11-16T10:49:00Z</dcterms:created>
  <dc:creator>Marta Hercuń</dc:creator>
  <dc:description/>
  <dc:language>pl-PL</dc:language>
  <cp:lastModifiedBy/>
  <cp:lastPrinted>2020-09-11T10:20:00Z</cp:lastPrinted>
  <dcterms:modified xsi:type="dcterms:W3CDTF">2020-11-05T15:09:35Z</dcterms:modified>
  <cp:revision>9</cp:revision>
  <dc:subject/>
  <dc:title>ZARZĄDZENIE NR 106/2018</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